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DB9A" w14:textId="575EC60C" w:rsidR="00AD6112" w:rsidRPr="00A62DFD" w:rsidRDefault="006C1512" w:rsidP="00D97D6B">
      <w:pPr>
        <w:tabs>
          <w:tab w:val="left" w:pos="2034"/>
        </w:tabs>
        <w:spacing w:line="312" w:lineRule="auto"/>
        <w:rPr>
          <w:rFonts w:ascii="Arial" w:hAnsi="Arial" w:cs="Arial"/>
          <w:sz w:val="20"/>
          <w:szCs w:val="20"/>
          <w:lang w:val="cs-CZ"/>
        </w:rPr>
      </w:pPr>
      <w:bookmarkStart w:id="0" w:name="_Hlk54281748"/>
      <w:r>
        <w:rPr>
          <w:rFonts w:ascii="Arial" w:hAnsi="Arial" w:cs="Arial"/>
          <w:sz w:val="20"/>
          <w:szCs w:val="20"/>
          <w:lang w:val="cs-CZ"/>
        </w:rPr>
        <w:t>11</w:t>
      </w:r>
      <w:r w:rsidR="0036771A" w:rsidRPr="00A62DFD">
        <w:rPr>
          <w:rFonts w:ascii="Arial" w:hAnsi="Arial" w:cs="Arial"/>
          <w:sz w:val="20"/>
          <w:szCs w:val="20"/>
          <w:lang w:val="cs-CZ"/>
        </w:rPr>
        <w:t xml:space="preserve">. </w:t>
      </w:r>
      <w:r w:rsidR="00D30D1E">
        <w:rPr>
          <w:rFonts w:ascii="Arial" w:hAnsi="Arial" w:cs="Arial"/>
          <w:sz w:val="20"/>
          <w:szCs w:val="20"/>
          <w:lang w:val="cs-CZ"/>
        </w:rPr>
        <w:t>června</w:t>
      </w:r>
      <w:r w:rsidR="00D30D1E" w:rsidRPr="00A62DFD">
        <w:rPr>
          <w:rFonts w:ascii="Arial" w:hAnsi="Arial" w:cs="Arial"/>
          <w:sz w:val="20"/>
          <w:szCs w:val="20"/>
          <w:lang w:val="cs-CZ"/>
        </w:rPr>
        <w:t xml:space="preserve"> </w:t>
      </w:r>
      <w:r w:rsidR="0036771A" w:rsidRPr="00A62DFD">
        <w:rPr>
          <w:rFonts w:ascii="Arial" w:hAnsi="Arial" w:cs="Arial"/>
          <w:sz w:val="20"/>
          <w:szCs w:val="20"/>
          <w:lang w:val="cs-CZ"/>
        </w:rPr>
        <w:t>202</w:t>
      </w:r>
      <w:r w:rsidR="00870904" w:rsidRPr="00A62DFD">
        <w:rPr>
          <w:rFonts w:ascii="Arial" w:hAnsi="Arial" w:cs="Arial"/>
          <w:sz w:val="20"/>
          <w:szCs w:val="20"/>
          <w:lang w:val="cs-CZ"/>
        </w:rPr>
        <w:t>4</w:t>
      </w:r>
    </w:p>
    <w:p w14:paraId="0156C55E" w14:textId="27CB8F01" w:rsidR="001109EB" w:rsidRPr="00A62DFD" w:rsidRDefault="0036771A" w:rsidP="00D97D6B">
      <w:pPr>
        <w:tabs>
          <w:tab w:val="left" w:pos="2034"/>
        </w:tabs>
        <w:spacing w:line="312" w:lineRule="auto"/>
        <w:rPr>
          <w:rFonts w:ascii="Arial" w:eastAsia="Arial" w:hAnsi="Arial" w:cs="Arial"/>
          <w:sz w:val="20"/>
          <w:szCs w:val="20"/>
          <w:lang w:val="cs-CZ"/>
        </w:rPr>
      </w:pPr>
      <w:r w:rsidRPr="00A62DFD">
        <w:rPr>
          <w:rFonts w:ascii="Arial" w:hAnsi="Arial" w:cs="Arial"/>
          <w:sz w:val="20"/>
          <w:szCs w:val="20"/>
          <w:lang w:val="cs-CZ"/>
        </w:rPr>
        <w:tab/>
      </w:r>
    </w:p>
    <w:p w14:paraId="6636E133" w14:textId="445928F4" w:rsidR="00B83D8C" w:rsidRPr="00B83D8C" w:rsidRDefault="00B83D8C" w:rsidP="00B83D8C">
      <w:pPr>
        <w:spacing w:line="312" w:lineRule="auto"/>
        <w:contextualSpacing/>
        <w:jc w:val="both"/>
        <w:rPr>
          <w:rFonts w:ascii="Arial" w:hAnsi="Arial" w:cs="Arial"/>
          <w:b/>
          <w:bCs/>
          <w:lang w:val="cs-CZ"/>
        </w:rPr>
      </w:pPr>
      <w:bookmarkStart w:id="1" w:name="_gjdgxs"/>
      <w:bookmarkEnd w:id="0"/>
      <w:bookmarkEnd w:id="1"/>
      <w:r w:rsidRPr="00B83D8C">
        <w:rPr>
          <w:rFonts w:ascii="Arial" w:hAnsi="Arial" w:cs="Arial"/>
          <w:b/>
          <w:bCs/>
          <w:lang w:val="cs-CZ"/>
        </w:rPr>
        <w:t xml:space="preserve">Kancelářský a obchodní </w:t>
      </w:r>
      <w:r w:rsidR="00A56CFA">
        <w:rPr>
          <w:rFonts w:ascii="Arial" w:hAnsi="Arial" w:cs="Arial"/>
          <w:b/>
          <w:bCs/>
          <w:lang w:val="cs-CZ"/>
        </w:rPr>
        <w:t>k</w:t>
      </w:r>
      <w:r w:rsidRPr="00B83D8C">
        <w:rPr>
          <w:rFonts w:ascii="Arial" w:hAnsi="Arial" w:cs="Arial"/>
          <w:b/>
          <w:bCs/>
          <w:lang w:val="cs-CZ"/>
        </w:rPr>
        <w:t>omplex v centru Prahy se mění na “Karlák Shopping Square”</w:t>
      </w:r>
    </w:p>
    <w:p w14:paraId="626A4B06" w14:textId="77777777" w:rsidR="00B83D8C" w:rsidRPr="00B83D8C" w:rsidRDefault="00B83D8C" w:rsidP="00B83D8C">
      <w:pPr>
        <w:spacing w:line="312" w:lineRule="auto"/>
        <w:ind w:right="-542"/>
        <w:contextualSpacing/>
        <w:jc w:val="center"/>
        <w:rPr>
          <w:rFonts w:ascii="Arial" w:hAnsi="Arial" w:cs="Arial"/>
          <w:b/>
          <w:bCs/>
          <w:lang w:val="cs-CZ"/>
        </w:rPr>
      </w:pPr>
    </w:p>
    <w:p w14:paraId="22CD1BCB" w14:textId="6444E4C1" w:rsidR="00B83D8C" w:rsidRPr="00A56CFA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i/>
          <w:iCs/>
          <w:sz w:val="22"/>
          <w:szCs w:val="22"/>
          <w:lang w:val="cs-CZ"/>
        </w:rPr>
      </w:pPr>
      <w:proofErr w:type="spellStart"/>
      <w:r w:rsidRPr="00A56CFA">
        <w:rPr>
          <w:rFonts w:ascii="Arial" w:hAnsi="Arial" w:cs="Arial"/>
          <w:i/>
          <w:iCs/>
          <w:sz w:val="22"/>
          <w:szCs w:val="22"/>
          <w:lang w:val="cs-CZ"/>
        </w:rPr>
        <w:t>Rebranding</w:t>
      </w:r>
      <w:proofErr w:type="spellEnd"/>
      <w:r w:rsidRPr="00A56CFA">
        <w:rPr>
          <w:rFonts w:ascii="Arial" w:hAnsi="Arial" w:cs="Arial"/>
          <w:i/>
          <w:iCs/>
          <w:sz w:val="22"/>
          <w:szCs w:val="22"/>
          <w:lang w:val="cs-CZ"/>
        </w:rPr>
        <w:t xml:space="preserve"> a rekonstrukce budovy na Karlově náměstí se týká retailových i</w:t>
      </w:r>
      <w:r w:rsidR="00B91D74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Pr="00A56CFA">
        <w:rPr>
          <w:rFonts w:ascii="Arial" w:hAnsi="Arial" w:cs="Arial"/>
          <w:i/>
          <w:iCs/>
          <w:sz w:val="22"/>
          <w:szCs w:val="22"/>
          <w:lang w:val="cs-CZ"/>
        </w:rPr>
        <w:t>kancelářských prostor a architektonických úprav s instalací nového loga</w:t>
      </w:r>
      <w:r w:rsidR="00891BA0">
        <w:rPr>
          <w:rFonts w:ascii="Arial" w:hAnsi="Arial" w:cs="Arial"/>
          <w:i/>
          <w:iCs/>
          <w:sz w:val="22"/>
          <w:szCs w:val="22"/>
          <w:lang w:val="cs-CZ"/>
        </w:rPr>
        <w:t xml:space="preserve"> a identity značky.</w:t>
      </w:r>
    </w:p>
    <w:p w14:paraId="31B002D4" w14:textId="77777777" w:rsidR="00B83D8C" w:rsidRPr="00B83D8C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14:paraId="428699E6" w14:textId="55242A25" w:rsidR="00313414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B83D8C">
        <w:rPr>
          <w:rFonts w:ascii="Arial" w:hAnsi="Arial" w:cs="Arial"/>
          <w:sz w:val="20"/>
          <w:szCs w:val="20"/>
          <w:lang w:val="cs-CZ"/>
        </w:rPr>
        <w:t xml:space="preserve">Administrativní a obchodní centrum „Karlák Shopping Square“ (dříve Charles Square Center) dostává novou tvář v podobě kompletního </w:t>
      </w:r>
      <w:proofErr w:type="spellStart"/>
      <w:r w:rsidRPr="00B83D8C">
        <w:rPr>
          <w:rFonts w:ascii="Arial" w:hAnsi="Arial" w:cs="Arial"/>
          <w:sz w:val="20"/>
          <w:szCs w:val="20"/>
          <w:lang w:val="cs-CZ"/>
        </w:rPr>
        <w:t>rebrandingu</w:t>
      </w:r>
      <w:proofErr w:type="spellEnd"/>
      <w:r w:rsidRPr="00B83D8C">
        <w:rPr>
          <w:rFonts w:ascii="Arial" w:hAnsi="Arial" w:cs="Arial"/>
          <w:sz w:val="20"/>
          <w:szCs w:val="20"/>
          <w:lang w:val="cs-CZ"/>
        </w:rPr>
        <w:t>, architektonických úprav a</w:t>
      </w:r>
      <w:r w:rsidR="00A56CFA">
        <w:rPr>
          <w:rFonts w:ascii="Arial" w:hAnsi="Arial" w:cs="Arial"/>
          <w:sz w:val="20"/>
          <w:szCs w:val="20"/>
          <w:lang w:val="cs-CZ"/>
        </w:rPr>
        <w:t> </w:t>
      </w:r>
      <w:r w:rsidRPr="00B83D8C">
        <w:rPr>
          <w:rFonts w:ascii="Arial" w:hAnsi="Arial" w:cs="Arial"/>
          <w:sz w:val="20"/>
          <w:szCs w:val="20"/>
          <w:lang w:val="cs-CZ"/>
        </w:rPr>
        <w:t>rekonstrukce retailových a kancelářských prostor</w:t>
      </w:r>
      <w:r w:rsidR="00815C50">
        <w:rPr>
          <w:rFonts w:ascii="Arial" w:hAnsi="Arial" w:cs="Arial"/>
          <w:sz w:val="20"/>
          <w:szCs w:val="20"/>
          <w:lang w:val="cs-CZ"/>
        </w:rPr>
        <w:t xml:space="preserve"> včetně zmodernizovaného</w:t>
      </w:r>
      <w:r w:rsidR="00815C50" w:rsidRPr="00B83D8C">
        <w:rPr>
          <w:rFonts w:ascii="Arial" w:hAnsi="Arial" w:cs="Arial"/>
          <w:sz w:val="20"/>
          <w:szCs w:val="20"/>
          <w:lang w:val="cs-CZ"/>
        </w:rPr>
        <w:t xml:space="preserve"> loga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. </w:t>
      </w:r>
      <w:r w:rsidR="00FE7771">
        <w:rPr>
          <w:rFonts w:ascii="Arial" w:hAnsi="Arial" w:cs="Arial"/>
          <w:sz w:val="20"/>
          <w:szCs w:val="20"/>
          <w:lang w:val="cs-CZ"/>
        </w:rPr>
        <w:t>K</w:t>
      </w:r>
      <w:r w:rsidR="00FE7771" w:rsidRPr="00B83D8C">
        <w:rPr>
          <w:rFonts w:ascii="Arial" w:hAnsi="Arial" w:cs="Arial"/>
          <w:sz w:val="20"/>
          <w:szCs w:val="20"/>
          <w:lang w:val="cs-CZ"/>
        </w:rPr>
        <w:t xml:space="preserve">ancelářskými </w:t>
      </w:r>
      <w:r w:rsidRPr="00B83D8C">
        <w:rPr>
          <w:rFonts w:ascii="Arial" w:hAnsi="Arial" w:cs="Arial"/>
          <w:sz w:val="20"/>
          <w:szCs w:val="20"/>
          <w:lang w:val="cs-CZ"/>
        </w:rPr>
        <w:t>nájemci v budově jsou</w:t>
      </w:r>
      <w:r w:rsidR="004104D3">
        <w:rPr>
          <w:rFonts w:ascii="Arial" w:hAnsi="Arial" w:cs="Arial"/>
          <w:sz w:val="20"/>
          <w:szCs w:val="20"/>
          <w:lang w:val="cs-CZ"/>
        </w:rPr>
        <w:t xml:space="preserve"> 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Phillip Morris, Cisco, DIOR, Commerzbank nebo </w:t>
      </w:r>
      <w:proofErr w:type="spellStart"/>
      <w:r w:rsidRPr="00B83D8C">
        <w:rPr>
          <w:rFonts w:ascii="Arial" w:hAnsi="Arial" w:cs="Arial"/>
          <w:sz w:val="20"/>
          <w:szCs w:val="20"/>
          <w:lang w:val="cs-CZ"/>
        </w:rPr>
        <w:t>Mo</w:t>
      </w:r>
      <w:r w:rsidR="00511C15" w:rsidRPr="00511C15">
        <w:rPr>
          <w:rFonts w:ascii="Arial" w:hAnsi="Arial" w:cs="Arial"/>
          <w:sz w:val="20"/>
          <w:szCs w:val="20"/>
          <w:lang w:val="cs-CZ"/>
        </w:rPr>
        <w:t>ë</w:t>
      </w:r>
      <w:r w:rsidRPr="00B83D8C">
        <w:rPr>
          <w:rFonts w:ascii="Arial" w:hAnsi="Arial" w:cs="Arial"/>
          <w:sz w:val="20"/>
          <w:szCs w:val="20"/>
          <w:lang w:val="cs-CZ"/>
        </w:rPr>
        <w:t>t</w:t>
      </w:r>
      <w:proofErr w:type="spellEnd"/>
      <w:r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B83D8C">
        <w:rPr>
          <w:rFonts w:ascii="Arial" w:hAnsi="Arial" w:cs="Arial"/>
          <w:sz w:val="20"/>
          <w:szCs w:val="20"/>
          <w:lang w:val="cs-CZ"/>
        </w:rPr>
        <w:t>Hennesy</w:t>
      </w:r>
      <w:proofErr w:type="spellEnd"/>
      <w:r w:rsidRPr="00B83D8C">
        <w:rPr>
          <w:rFonts w:ascii="Arial" w:hAnsi="Arial" w:cs="Arial"/>
          <w:sz w:val="20"/>
          <w:szCs w:val="20"/>
          <w:lang w:val="cs-CZ"/>
        </w:rPr>
        <w:t>.</w:t>
      </w:r>
      <w:r w:rsidR="00990C24">
        <w:rPr>
          <w:rFonts w:ascii="Arial" w:hAnsi="Arial" w:cs="Arial"/>
          <w:sz w:val="20"/>
          <w:szCs w:val="20"/>
          <w:lang w:val="cs-CZ"/>
        </w:rPr>
        <w:t xml:space="preserve"> </w:t>
      </w:r>
      <w:r w:rsidR="004104D3">
        <w:rPr>
          <w:rFonts w:ascii="Arial" w:hAnsi="Arial" w:cs="Arial"/>
          <w:sz w:val="20"/>
          <w:szCs w:val="20"/>
          <w:lang w:val="cs-CZ"/>
        </w:rPr>
        <w:t xml:space="preserve">Mezi nově příchozí retailové nájemce patří například </w:t>
      </w:r>
      <w:proofErr w:type="spellStart"/>
      <w:r w:rsidR="004104D3" w:rsidRPr="00B83D8C">
        <w:rPr>
          <w:rFonts w:ascii="Arial" w:hAnsi="Arial" w:cs="Arial"/>
          <w:sz w:val="20"/>
          <w:szCs w:val="20"/>
          <w:lang w:val="cs-CZ"/>
        </w:rPr>
        <w:t>McDonald’s</w:t>
      </w:r>
      <w:proofErr w:type="spellEnd"/>
      <w:r w:rsidR="004104D3"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="004104D3">
        <w:rPr>
          <w:rFonts w:ascii="Arial" w:hAnsi="Arial" w:cs="Arial"/>
          <w:sz w:val="20"/>
          <w:szCs w:val="20"/>
          <w:lang w:val="cs-CZ"/>
        </w:rPr>
        <w:t>nebo</w:t>
      </w:r>
      <w:r w:rsidR="004104D3"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4104D3" w:rsidRPr="00B83D8C">
        <w:rPr>
          <w:rFonts w:ascii="Arial" w:hAnsi="Arial" w:cs="Arial"/>
          <w:sz w:val="20"/>
          <w:szCs w:val="20"/>
          <w:lang w:val="cs-CZ"/>
        </w:rPr>
        <w:t>Fruitisimo</w:t>
      </w:r>
      <w:proofErr w:type="spellEnd"/>
      <w:r w:rsidR="004104D3">
        <w:rPr>
          <w:rFonts w:ascii="Arial" w:hAnsi="Arial" w:cs="Arial"/>
          <w:sz w:val="20"/>
          <w:szCs w:val="20"/>
          <w:lang w:val="cs-CZ"/>
        </w:rPr>
        <w:t xml:space="preserve">. </w:t>
      </w:r>
      <w:r w:rsidR="00FD67E3">
        <w:rPr>
          <w:rFonts w:ascii="Arial" w:hAnsi="Arial" w:cs="Arial"/>
          <w:sz w:val="20"/>
          <w:szCs w:val="20"/>
          <w:lang w:val="cs-CZ"/>
        </w:rPr>
        <w:t xml:space="preserve">Budovu vlastní německá společnost </w:t>
      </w:r>
      <w:r w:rsidR="00E21947">
        <w:rPr>
          <w:rFonts w:ascii="Arial" w:hAnsi="Arial" w:cs="Arial"/>
          <w:sz w:val="20"/>
          <w:szCs w:val="20"/>
          <w:lang w:val="cs-CZ"/>
        </w:rPr>
        <w:t>KGAL, která se zaměřuje na správu aktiv a investic</w:t>
      </w:r>
      <w:r w:rsidR="00C64D97">
        <w:rPr>
          <w:rFonts w:ascii="Arial" w:hAnsi="Arial" w:cs="Arial"/>
          <w:sz w:val="20"/>
          <w:szCs w:val="20"/>
          <w:lang w:val="cs-CZ"/>
        </w:rPr>
        <w:t xml:space="preserve"> a je takém iniciátorem </w:t>
      </w:r>
      <w:r w:rsidR="00D25D03">
        <w:rPr>
          <w:rFonts w:ascii="Arial" w:hAnsi="Arial" w:cs="Arial"/>
          <w:sz w:val="20"/>
          <w:szCs w:val="20"/>
          <w:lang w:val="cs-CZ"/>
        </w:rPr>
        <w:t xml:space="preserve">celého projektu. 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Pronájem kancelářských prostor a správu budovy zaštiťuje společnost </w:t>
      </w:r>
      <w:proofErr w:type="spellStart"/>
      <w:r w:rsidRPr="00B83D8C">
        <w:rPr>
          <w:rFonts w:ascii="Arial" w:hAnsi="Arial" w:cs="Arial"/>
          <w:sz w:val="20"/>
          <w:szCs w:val="20"/>
          <w:lang w:val="cs-CZ"/>
        </w:rPr>
        <w:t>Savills</w:t>
      </w:r>
      <w:proofErr w:type="spellEnd"/>
      <w:r w:rsidRPr="00B83D8C">
        <w:rPr>
          <w:rFonts w:ascii="Arial" w:hAnsi="Arial" w:cs="Arial"/>
          <w:sz w:val="20"/>
          <w:szCs w:val="20"/>
          <w:lang w:val="cs-CZ"/>
        </w:rPr>
        <w:t xml:space="preserve">, která </w:t>
      </w:r>
      <w:r w:rsidR="006E6C9D">
        <w:rPr>
          <w:rFonts w:ascii="Arial" w:hAnsi="Arial" w:cs="Arial"/>
          <w:sz w:val="20"/>
          <w:szCs w:val="20"/>
          <w:lang w:val="cs-CZ"/>
        </w:rPr>
        <w:t xml:space="preserve">ji 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také </w:t>
      </w:r>
      <w:r w:rsidR="00FE7771">
        <w:rPr>
          <w:rFonts w:ascii="Arial" w:hAnsi="Arial" w:cs="Arial"/>
          <w:sz w:val="20"/>
          <w:szCs w:val="20"/>
          <w:lang w:val="cs-CZ"/>
        </w:rPr>
        <w:t xml:space="preserve">v roce 2021 </w:t>
      </w:r>
      <w:r w:rsidR="006E6C9D">
        <w:rPr>
          <w:rFonts w:ascii="Arial" w:hAnsi="Arial" w:cs="Arial"/>
          <w:sz w:val="20"/>
          <w:szCs w:val="20"/>
          <w:lang w:val="cs-CZ"/>
        </w:rPr>
        <w:t>provedla</w:t>
      </w:r>
      <w:r w:rsidR="006E6C9D"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="00FE7771" w:rsidRPr="00B83D8C">
        <w:rPr>
          <w:rFonts w:ascii="Arial" w:hAnsi="Arial" w:cs="Arial"/>
          <w:sz w:val="20"/>
          <w:szCs w:val="20"/>
          <w:lang w:val="cs-CZ"/>
        </w:rPr>
        <w:t>certifika</w:t>
      </w:r>
      <w:r w:rsidR="006E6C9D">
        <w:rPr>
          <w:rFonts w:ascii="Arial" w:hAnsi="Arial" w:cs="Arial"/>
          <w:sz w:val="20"/>
          <w:szCs w:val="20"/>
          <w:lang w:val="cs-CZ"/>
        </w:rPr>
        <w:t>čním procesem</w:t>
      </w:r>
      <w:r w:rsidR="00FE7771"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="006E6C9D">
        <w:rPr>
          <w:rFonts w:ascii="Arial" w:hAnsi="Arial" w:cs="Arial"/>
          <w:sz w:val="20"/>
          <w:szCs w:val="20"/>
          <w:lang w:val="cs-CZ"/>
        </w:rPr>
        <w:t xml:space="preserve">v úrovni </w:t>
      </w:r>
      <w:r w:rsidR="00FE7771">
        <w:rPr>
          <w:rFonts w:ascii="Arial" w:hAnsi="Arial" w:cs="Arial"/>
          <w:sz w:val="20"/>
          <w:szCs w:val="20"/>
          <w:lang w:val="cs-CZ"/>
        </w:rPr>
        <w:t>BREEAM In-Use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B83D8C">
        <w:rPr>
          <w:rFonts w:ascii="Arial" w:hAnsi="Arial" w:cs="Arial"/>
          <w:sz w:val="20"/>
          <w:szCs w:val="20"/>
          <w:lang w:val="cs-CZ"/>
        </w:rPr>
        <w:t>Excellent</w:t>
      </w:r>
      <w:proofErr w:type="spellEnd"/>
      <w:r w:rsidRPr="00B83D8C">
        <w:rPr>
          <w:rFonts w:ascii="Arial" w:hAnsi="Arial" w:cs="Arial"/>
          <w:sz w:val="20"/>
          <w:szCs w:val="20"/>
          <w:lang w:val="cs-CZ"/>
        </w:rPr>
        <w:t xml:space="preserve">. </w:t>
      </w:r>
      <w:r w:rsidR="004104D3">
        <w:rPr>
          <w:rFonts w:ascii="Arial" w:hAnsi="Arial" w:cs="Arial"/>
          <w:sz w:val="20"/>
          <w:szCs w:val="20"/>
          <w:lang w:val="cs-CZ"/>
        </w:rPr>
        <w:t>O p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ronájem maloobchodních prostor a </w:t>
      </w:r>
      <w:proofErr w:type="spellStart"/>
      <w:r w:rsidR="006E6C9D" w:rsidRPr="00B83D8C">
        <w:rPr>
          <w:rFonts w:ascii="Arial" w:hAnsi="Arial" w:cs="Arial"/>
          <w:sz w:val="20"/>
          <w:szCs w:val="20"/>
          <w:lang w:val="cs-CZ"/>
        </w:rPr>
        <w:t>proje</w:t>
      </w:r>
      <w:r w:rsidR="006E6C9D">
        <w:rPr>
          <w:rFonts w:ascii="Arial" w:hAnsi="Arial" w:cs="Arial"/>
          <w:sz w:val="20"/>
          <w:szCs w:val="20"/>
          <w:lang w:val="cs-CZ"/>
        </w:rPr>
        <w:t>c</w:t>
      </w:r>
      <w:r w:rsidR="006E6C9D" w:rsidRPr="00B83D8C">
        <w:rPr>
          <w:rFonts w:ascii="Arial" w:hAnsi="Arial" w:cs="Arial"/>
          <w:sz w:val="20"/>
          <w:szCs w:val="20"/>
          <w:lang w:val="cs-CZ"/>
        </w:rPr>
        <w:t>t</w:t>
      </w:r>
      <w:proofErr w:type="spellEnd"/>
      <w:r w:rsidR="006E6C9D"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management </w:t>
      </w:r>
      <w:r w:rsidR="004104D3">
        <w:rPr>
          <w:rFonts w:ascii="Arial" w:hAnsi="Arial" w:cs="Arial"/>
          <w:sz w:val="20"/>
          <w:szCs w:val="20"/>
          <w:lang w:val="cs-CZ"/>
        </w:rPr>
        <w:t>se stará</w:t>
      </w:r>
      <w:r w:rsidR="004104D3"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společnost CBRE, která zároveň realizuje </w:t>
      </w:r>
      <w:proofErr w:type="spellStart"/>
      <w:r w:rsidR="00B91D74">
        <w:rPr>
          <w:rFonts w:ascii="Arial" w:hAnsi="Arial" w:cs="Arial"/>
          <w:sz w:val="20"/>
          <w:szCs w:val="20"/>
          <w:lang w:val="cs-CZ"/>
        </w:rPr>
        <w:t>redevelopment</w:t>
      </w:r>
      <w:proofErr w:type="spellEnd"/>
      <w:r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="00FC3947">
        <w:rPr>
          <w:rFonts w:ascii="Arial" w:hAnsi="Arial" w:cs="Arial"/>
          <w:sz w:val="20"/>
          <w:szCs w:val="20"/>
          <w:lang w:val="cs-CZ"/>
        </w:rPr>
        <w:t xml:space="preserve">objektu </w:t>
      </w:r>
      <w:r w:rsidRPr="00B83D8C">
        <w:rPr>
          <w:rFonts w:ascii="Arial" w:hAnsi="Arial" w:cs="Arial"/>
          <w:sz w:val="20"/>
          <w:szCs w:val="20"/>
          <w:lang w:val="cs-CZ"/>
        </w:rPr>
        <w:t>Karlák Shopping Square.</w:t>
      </w:r>
      <w:r w:rsidR="00A56CFA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2B6C1D9" w14:textId="77777777" w:rsidR="00A75A16" w:rsidRDefault="00A75A16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14:paraId="5277D464" w14:textId="57947A38" w:rsidR="00A45C03" w:rsidRPr="006C1512" w:rsidRDefault="00A45C03" w:rsidP="00B83D8C">
      <w:pPr>
        <w:spacing w:line="312" w:lineRule="auto"/>
        <w:ind w:right="-542"/>
        <w:contextualSpacing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„Jsme velmi spokojeni s tím, jak se projekt vyvíjí. Splnění požadavků nájemců a zároveň zvýšení kvality budovy je náročný proces, ale každá zúčastněná strana je zapálená a pracuje na nejvyšší profesionální úrovni. Klíčem k úspěchu je vysoká míra spolupráce mezi všemi zúčastněnými. Nakonec je velmi obohacující vidět, jak se všechny dílky skládají dohromady jako ve hře </w:t>
      </w:r>
      <w:proofErr w:type="spellStart"/>
      <w:r w:rsidRPr="006C1512">
        <w:rPr>
          <w:rFonts w:ascii="Arial" w:hAnsi="Arial" w:cs="Arial"/>
          <w:i/>
          <w:iCs/>
          <w:sz w:val="20"/>
          <w:szCs w:val="20"/>
          <w:lang w:val="cs-CZ"/>
        </w:rPr>
        <w:t>Tetris</w:t>
      </w:r>
      <w:proofErr w:type="spellEnd"/>
      <w:r w:rsidRPr="006C1512">
        <w:rPr>
          <w:rFonts w:ascii="Arial" w:hAnsi="Arial" w:cs="Arial"/>
          <w:i/>
          <w:iCs/>
          <w:sz w:val="20"/>
          <w:szCs w:val="20"/>
          <w:lang w:val="cs-CZ"/>
        </w:rPr>
        <w:t>,“</w:t>
      </w:r>
      <w:r w:rsidRPr="006C1512">
        <w:rPr>
          <w:rFonts w:ascii="Arial" w:hAnsi="Arial" w:cs="Arial"/>
          <w:sz w:val="20"/>
          <w:szCs w:val="20"/>
          <w:lang w:val="cs-CZ"/>
        </w:rPr>
        <w:t xml:space="preserve"> komentuje </w:t>
      </w:r>
      <w:r w:rsidR="006F26ED" w:rsidRPr="006C1512">
        <w:rPr>
          <w:rFonts w:ascii="Arial" w:hAnsi="Arial" w:cs="Arial"/>
          <w:b/>
          <w:bCs/>
          <w:sz w:val="20"/>
          <w:szCs w:val="20"/>
          <w:lang w:val="cs-CZ"/>
        </w:rPr>
        <w:t xml:space="preserve">Jessica </w:t>
      </w:r>
      <w:proofErr w:type="spellStart"/>
      <w:r w:rsidR="006F26ED" w:rsidRPr="006C1512">
        <w:rPr>
          <w:rFonts w:ascii="Arial" w:hAnsi="Arial" w:cs="Arial"/>
          <w:b/>
          <w:bCs/>
          <w:sz w:val="20"/>
          <w:szCs w:val="20"/>
          <w:lang w:val="cs-CZ"/>
        </w:rPr>
        <w:t>Zeitler</w:t>
      </w:r>
      <w:proofErr w:type="spellEnd"/>
      <w:r w:rsidR="006F26ED" w:rsidRPr="006C1512">
        <w:rPr>
          <w:rFonts w:ascii="Arial" w:hAnsi="Arial" w:cs="Arial"/>
          <w:b/>
          <w:bCs/>
          <w:sz w:val="20"/>
          <w:szCs w:val="20"/>
          <w:lang w:val="cs-CZ"/>
        </w:rPr>
        <w:t xml:space="preserve">, </w:t>
      </w:r>
      <w:proofErr w:type="spellStart"/>
      <w:r w:rsidR="00993AA4" w:rsidRPr="006C1512">
        <w:rPr>
          <w:rFonts w:ascii="Arial" w:hAnsi="Arial" w:cs="Arial"/>
          <w:b/>
          <w:bCs/>
          <w:sz w:val="20"/>
          <w:szCs w:val="20"/>
          <w:lang w:val="cs-CZ"/>
        </w:rPr>
        <w:t>Asset</w:t>
      </w:r>
      <w:proofErr w:type="spellEnd"/>
      <w:r w:rsidR="00993AA4" w:rsidRPr="006C1512">
        <w:rPr>
          <w:rFonts w:ascii="Arial" w:hAnsi="Arial" w:cs="Arial"/>
          <w:b/>
          <w:bCs/>
          <w:sz w:val="20"/>
          <w:szCs w:val="20"/>
          <w:lang w:val="cs-CZ"/>
        </w:rPr>
        <w:t xml:space="preserve"> manažer v KGAL. </w:t>
      </w:r>
    </w:p>
    <w:p w14:paraId="0B016C90" w14:textId="77777777" w:rsidR="00B83D8C" w:rsidRPr="00B83D8C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14:paraId="543614B5" w14:textId="49EBF559" w:rsidR="00B83D8C" w:rsidRPr="00E00AD4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u w:val="single"/>
          <w:lang w:val="cs-CZ"/>
        </w:rPr>
      </w:pPr>
      <w:r w:rsidRPr="00E00AD4">
        <w:rPr>
          <w:rFonts w:ascii="Arial" w:hAnsi="Arial" w:cs="Arial"/>
          <w:b/>
          <w:bCs/>
          <w:sz w:val="20"/>
          <w:szCs w:val="20"/>
          <w:u w:val="single"/>
          <w:lang w:val="cs-CZ"/>
        </w:rPr>
        <w:t>Noví i dlouhodobí nájemci podtrhují atraktivitu a zájem o Karlák Shopping Square</w:t>
      </w:r>
    </w:p>
    <w:p w14:paraId="09ECB7E9" w14:textId="244E1B7B" w:rsidR="00B83D8C" w:rsidRPr="000470B6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6402DE">
        <w:rPr>
          <w:rFonts w:ascii="Arial" w:hAnsi="Arial" w:cs="Arial"/>
          <w:i/>
          <w:iCs/>
          <w:sz w:val="20"/>
          <w:szCs w:val="20"/>
          <w:lang w:val="cs-CZ"/>
        </w:rPr>
        <w:t>„Nově jsme zprostředkovali pronájem pro dva atraktivní gastro brandy</w:t>
      </w:r>
      <w:r w:rsidR="0082436B" w:rsidRPr="006402DE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Pr="006402DE">
        <w:rPr>
          <w:rFonts w:ascii="Arial" w:hAnsi="Arial" w:cs="Arial"/>
          <w:i/>
          <w:iCs/>
          <w:sz w:val="20"/>
          <w:szCs w:val="20"/>
          <w:lang w:val="cs-CZ"/>
        </w:rPr>
        <w:t xml:space="preserve"> a to</w:t>
      </w:r>
      <w:r w:rsidR="000470B6">
        <w:rPr>
          <w:rFonts w:ascii="Arial" w:hAnsi="Arial" w:cs="Arial"/>
          <w:i/>
          <w:iCs/>
          <w:sz w:val="20"/>
          <w:szCs w:val="20"/>
          <w:lang w:val="cs-CZ"/>
        </w:rPr>
        <w:t xml:space="preserve"> ovocný bar </w:t>
      </w:r>
      <w:proofErr w:type="spellStart"/>
      <w:r w:rsidR="000470B6" w:rsidRPr="006402DE">
        <w:rPr>
          <w:rFonts w:ascii="Arial" w:hAnsi="Arial" w:cs="Arial"/>
          <w:i/>
          <w:iCs/>
          <w:sz w:val="20"/>
          <w:szCs w:val="20"/>
          <w:lang w:val="cs-CZ"/>
        </w:rPr>
        <w:t>Fru</w:t>
      </w:r>
      <w:r w:rsidR="000470B6">
        <w:rPr>
          <w:rFonts w:ascii="Arial" w:hAnsi="Arial" w:cs="Arial"/>
          <w:i/>
          <w:iCs/>
          <w:sz w:val="20"/>
          <w:szCs w:val="20"/>
          <w:lang w:val="cs-CZ"/>
        </w:rPr>
        <w:t>i</w:t>
      </w:r>
      <w:r w:rsidR="000470B6" w:rsidRPr="006402DE">
        <w:rPr>
          <w:rFonts w:ascii="Arial" w:hAnsi="Arial" w:cs="Arial"/>
          <w:i/>
          <w:iCs/>
          <w:sz w:val="20"/>
          <w:szCs w:val="20"/>
          <w:lang w:val="cs-CZ"/>
        </w:rPr>
        <w:t>tisimo</w:t>
      </w:r>
      <w:proofErr w:type="spellEnd"/>
      <w:r w:rsidR="000470B6">
        <w:rPr>
          <w:rFonts w:ascii="Arial" w:hAnsi="Arial" w:cs="Arial"/>
          <w:i/>
          <w:iCs/>
          <w:sz w:val="20"/>
          <w:szCs w:val="20"/>
          <w:lang w:val="cs-CZ"/>
        </w:rPr>
        <w:t xml:space="preserve"> a oblíbený </w:t>
      </w:r>
      <w:proofErr w:type="spellStart"/>
      <w:r w:rsidR="000470B6" w:rsidRPr="006402DE">
        <w:rPr>
          <w:rFonts w:ascii="Arial" w:hAnsi="Arial" w:cs="Arial"/>
          <w:i/>
          <w:iCs/>
          <w:sz w:val="20"/>
          <w:szCs w:val="20"/>
          <w:lang w:val="cs-CZ"/>
        </w:rPr>
        <w:t>McDonald’s</w:t>
      </w:r>
      <w:proofErr w:type="spellEnd"/>
      <w:r w:rsidRPr="006402DE">
        <w:rPr>
          <w:rFonts w:ascii="Arial" w:hAnsi="Arial" w:cs="Arial"/>
          <w:i/>
          <w:iCs/>
          <w:sz w:val="20"/>
          <w:szCs w:val="20"/>
          <w:lang w:val="cs-CZ"/>
        </w:rPr>
        <w:t>, jehož prostor o</w:t>
      </w:r>
      <w:r w:rsidR="006402DE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6E6C9D">
        <w:rPr>
          <w:rFonts w:ascii="Arial" w:hAnsi="Arial" w:cs="Arial"/>
          <w:i/>
          <w:iCs/>
          <w:sz w:val="20"/>
          <w:szCs w:val="20"/>
          <w:lang w:val="cs-CZ"/>
        </w:rPr>
        <w:t>ploše</w:t>
      </w:r>
      <w:r w:rsidR="006E6C9D" w:rsidRPr="006402DE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Pr="006402DE">
        <w:rPr>
          <w:rFonts w:ascii="Arial" w:hAnsi="Arial" w:cs="Arial"/>
          <w:i/>
          <w:iCs/>
          <w:sz w:val="20"/>
          <w:szCs w:val="20"/>
          <w:lang w:val="cs-CZ"/>
        </w:rPr>
        <w:t>více než 300 m</w:t>
      </w:r>
      <w:r w:rsidRPr="006402DE">
        <w:rPr>
          <w:rFonts w:ascii="Arial" w:hAnsi="Arial" w:cs="Arial"/>
          <w:i/>
          <w:iCs/>
          <w:sz w:val="20"/>
          <w:szCs w:val="20"/>
          <w:vertAlign w:val="superscript"/>
          <w:lang w:val="cs-CZ"/>
        </w:rPr>
        <w:t>2</w:t>
      </w:r>
      <w:r w:rsidRPr="006402DE">
        <w:rPr>
          <w:rFonts w:ascii="Arial" w:hAnsi="Arial" w:cs="Arial"/>
          <w:i/>
          <w:iCs/>
          <w:sz w:val="20"/>
          <w:szCs w:val="20"/>
          <w:lang w:val="cs-CZ"/>
        </w:rPr>
        <w:t xml:space="preserve"> bude spojovat vnitřní galerii s frekventovaným prostranstvím před polyfunkčním centrem</w:t>
      </w:r>
      <w:r w:rsidR="000470B6">
        <w:rPr>
          <w:rFonts w:ascii="Arial" w:hAnsi="Arial" w:cs="Arial"/>
          <w:i/>
          <w:iCs/>
          <w:sz w:val="20"/>
          <w:szCs w:val="20"/>
          <w:lang w:val="cs-CZ"/>
        </w:rPr>
        <w:t xml:space="preserve">,“ </w:t>
      </w:r>
      <w:r w:rsidR="000470B6" w:rsidRPr="006C1512">
        <w:rPr>
          <w:rFonts w:ascii="Arial" w:hAnsi="Arial" w:cs="Arial"/>
          <w:sz w:val="20"/>
          <w:szCs w:val="20"/>
          <w:lang w:val="cs-CZ"/>
        </w:rPr>
        <w:t>říká</w:t>
      </w:r>
      <w:r w:rsidR="000470B6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470B6" w:rsidRPr="0082436B">
        <w:rPr>
          <w:rFonts w:ascii="Arial" w:hAnsi="Arial" w:cs="Arial"/>
          <w:b/>
          <w:bCs/>
          <w:sz w:val="20"/>
          <w:szCs w:val="20"/>
          <w:lang w:val="cs-CZ"/>
        </w:rPr>
        <w:t xml:space="preserve">Jan Janáček, </w:t>
      </w:r>
      <w:proofErr w:type="spellStart"/>
      <w:r w:rsidR="000470B6">
        <w:rPr>
          <w:rFonts w:ascii="Arial" w:hAnsi="Arial" w:cs="Arial"/>
          <w:b/>
          <w:bCs/>
          <w:sz w:val="20"/>
          <w:szCs w:val="20"/>
          <w:lang w:val="cs-CZ"/>
        </w:rPr>
        <w:t>Head</w:t>
      </w:r>
      <w:proofErr w:type="spellEnd"/>
      <w:r w:rsidR="000470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="000470B6">
        <w:rPr>
          <w:rFonts w:ascii="Arial" w:hAnsi="Arial" w:cs="Arial"/>
          <w:b/>
          <w:bCs/>
          <w:sz w:val="20"/>
          <w:szCs w:val="20"/>
          <w:lang w:val="cs-CZ"/>
        </w:rPr>
        <w:t>of</w:t>
      </w:r>
      <w:proofErr w:type="spellEnd"/>
      <w:r w:rsidR="000470B6">
        <w:rPr>
          <w:rFonts w:ascii="Arial" w:hAnsi="Arial" w:cs="Arial"/>
          <w:b/>
          <w:bCs/>
          <w:sz w:val="20"/>
          <w:szCs w:val="20"/>
          <w:lang w:val="cs-CZ"/>
        </w:rPr>
        <w:t xml:space="preserve"> Retail </w:t>
      </w:r>
      <w:proofErr w:type="spellStart"/>
      <w:r w:rsidR="000470B6">
        <w:rPr>
          <w:rFonts w:ascii="Arial" w:hAnsi="Arial" w:cs="Arial"/>
          <w:b/>
          <w:bCs/>
          <w:sz w:val="20"/>
          <w:szCs w:val="20"/>
          <w:lang w:val="cs-CZ"/>
        </w:rPr>
        <w:t>Sector</w:t>
      </w:r>
      <w:proofErr w:type="spellEnd"/>
      <w:r w:rsidR="000470B6" w:rsidRPr="0082436B">
        <w:rPr>
          <w:rFonts w:ascii="Arial" w:hAnsi="Arial" w:cs="Arial"/>
          <w:b/>
          <w:bCs/>
          <w:sz w:val="20"/>
          <w:szCs w:val="20"/>
          <w:lang w:val="cs-CZ"/>
        </w:rPr>
        <w:t xml:space="preserve"> v CBRE</w:t>
      </w:r>
      <w:r w:rsidR="000470B6" w:rsidRPr="00B83D8C">
        <w:rPr>
          <w:rFonts w:ascii="Arial" w:hAnsi="Arial" w:cs="Arial"/>
          <w:sz w:val="20"/>
          <w:szCs w:val="20"/>
          <w:lang w:val="cs-CZ"/>
        </w:rPr>
        <w:t xml:space="preserve">, </w:t>
      </w:r>
      <w:r w:rsidR="006E6C9D">
        <w:rPr>
          <w:rFonts w:ascii="Arial" w:hAnsi="Arial" w:cs="Arial"/>
          <w:sz w:val="20"/>
          <w:szCs w:val="20"/>
          <w:lang w:val="cs-CZ"/>
        </w:rPr>
        <w:t xml:space="preserve">a </w:t>
      </w:r>
      <w:r w:rsidR="000470B6">
        <w:rPr>
          <w:rFonts w:ascii="Arial" w:hAnsi="Arial" w:cs="Arial"/>
          <w:sz w:val="20"/>
          <w:szCs w:val="20"/>
          <w:lang w:val="cs-CZ"/>
        </w:rPr>
        <w:t>dodává:</w:t>
      </w:r>
      <w:r w:rsidR="00190A41">
        <w:rPr>
          <w:rFonts w:ascii="Arial" w:hAnsi="Arial" w:cs="Arial"/>
          <w:sz w:val="20"/>
          <w:szCs w:val="20"/>
          <w:lang w:val="cs-CZ"/>
        </w:rPr>
        <w:t xml:space="preserve"> </w:t>
      </w:r>
      <w:r w:rsidR="00190A41">
        <w:rPr>
          <w:rFonts w:ascii="Arial" w:hAnsi="Arial" w:cs="Arial"/>
          <w:i/>
          <w:iCs/>
          <w:sz w:val="20"/>
          <w:szCs w:val="20"/>
          <w:lang w:val="cs-CZ"/>
        </w:rPr>
        <w:t xml:space="preserve">„Mezi </w:t>
      </w:r>
      <w:r w:rsidR="00190A41" w:rsidRPr="00190A41">
        <w:rPr>
          <w:rFonts w:ascii="Arial" w:hAnsi="Arial" w:cs="Arial"/>
          <w:i/>
          <w:iCs/>
          <w:sz w:val="20"/>
          <w:szCs w:val="20"/>
          <w:lang w:val="cs-CZ"/>
        </w:rPr>
        <w:t xml:space="preserve">dlouhodobé nájemce patří supermarket Billa, z těch větších formátů se dále jedná o drogerii Teta </w:t>
      </w:r>
      <w:r w:rsidR="006E6C9D">
        <w:rPr>
          <w:rFonts w:ascii="Arial" w:hAnsi="Arial" w:cs="Arial"/>
          <w:i/>
          <w:iCs/>
          <w:sz w:val="20"/>
          <w:szCs w:val="20"/>
          <w:lang w:val="cs-CZ"/>
        </w:rPr>
        <w:t>a oblíbený koncept fitness center</w:t>
      </w:r>
      <w:r w:rsidR="00190A41" w:rsidRPr="00190A41">
        <w:rPr>
          <w:rFonts w:ascii="Arial" w:hAnsi="Arial" w:cs="Arial"/>
          <w:i/>
          <w:iCs/>
          <w:sz w:val="20"/>
          <w:szCs w:val="20"/>
          <w:lang w:val="cs-CZ"/>
        </w:rPr>
        <w:t xml:space="preserve"> John Reed.</w:t>
      </w:r>
      <w:r w:rsidR="00190A41">
        <w:rPr>
          <w:rFonts w:ascii="Arial" w:hAnsi="Arial" w:cs="Arial"/>
          <w:i/>
          <w:iCs/>
          <w:sz w:val="20"/>
          <w:szCs w:val="20"/>
          <w:lang w:val="cs-CZ"/>
        </w:rPr>
        <w:t xml:space="preserve">“ </w:t>
      </w:r>
      <w:r w:rsidR="00190A41">
        <w:rPr>
          <w:rFonts w:ascii="Arial" w:hAnsi="Arial" w:cs="Arial"/>
          <w:sz w:val="20"/>
          <w:szCs w:val="20"/>
          <w:lang w:val="cs-CZ"/>
        </w:rPr>
        <w:t xml:space="preserve">Centrum </w:t>
      </w:r>
      <w:r w:rsidR="006E6C9D">
        <w:rPr>
          <w:rFonts w:ascii="Arial" w:hAnsi="Arial" w:cs="Arial"/>
          <w:sz w:val="20"/>
          <w:szCs w:val="20"/>
          <w:lang w:val="cs-CZ"/>
        </w:rPr>
        <w:t xml:space="preserve">kromě toho </w:t>
      </w:r>
      <w:r w:rsidR="00190A41">
        <w:rPr>
          <w:rFonts w:ascii="Arial" w:hAnsi="Arial" w:cs="Arial"/>
          <w:sz w:val="20"/>
          <w:szCs w:val="20"/>
          <w:lang w:val="cs-CZ"/>
        </w:rPr>
        <w:t xml:space="preserve">čekají další změny – ty se týkají budoucích i stávajících nájemců. Příkladem je obchod </w:t>
      </w:r>
      <w:r w:rsidR="000470B6" w:rsidRPr="009541CE">
        <w:rPr>
          <w:rFonts w:ascii="Arial" w:hAnsi="Arial" w:cs="Arial"/>
          <w:sz w:val="20"/>
          <w:szCs w:val="20"/>
          <w:lang w:val="cs-CZ"/>
        </w:rPr>
        <w:t>řetězce Do</w:t>
      </w:r>
      <w:r w:rsidR="006E6C9D">
        <w:rPr>
          <w:rFonts w:ascii="Arial" w:hAnsi="Arial" w:cs="Arial"/>
          <w:sz w:val="20"/>
          <w:szCs w:val="20"/>
          <w:lang w:val="cs-CZ"/>
        </w:rPr>
        <w:t>n</w:t>
      </w:r>
      <w:r w:rsidR="000470B6" w:rsidRPr="009541CE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0470B6" w:rsidRPr="009541CE">
        <w:rPr>
          <w:rFonts w:ascii="Arial" w:hAnsi="Arial" w:cs="Arial"/>
          <w:sz w:val="20"/>
          <w:szCs w:val="20"/>
          <w:lang w:val="cs-CZ"/>
        </w:rPr>
        <w:t>Pealo</w:t>
      </w:r>
      <w:proofErr w:type="spellEnd"/>
      <w:r w:rsidR="000470B6" w:rsidRPr="009541CE">
        <w:rPr>
          <w:rFonts w:ascii="Arial" w:hAnsi="Arial" w:cs="Arial"/>
          <w:sz w:val="20"/>
          <w:szCs w:val="20"/>
          <w:lang w:val="cs-CZ"/>
        </w:rPr>
        <w:t>, který se přemístí do nových prostor.</w:t>
      </w:r>
      <w:r w:rsidR="00190A41">
        <w:rPr>
          <w:rFonts w:ascii="Arial" w:hAnsi="Arial" w:cs="Arial"/>
          <w:sz w:val="20"/>
          <w:szCs w:val="20"/>
          <w:lang w:val="cs-CZ"/>
        </w:rPr>
        <w:t xml:space="preserve"> </w:t>
      </w:r>
      <w:r w:rsidRPr="00B83D8C">
        <w:rPr>
          <w:rFonts w:ascii="Arial" w:hAnsi="Arial" w:cs="Arial"/>
          <w:sz w:val="20"/>
          <w:szCs w:val="20"/>
          <w:lang w:val="cs-CZ"/>
        </w:rPr>
        <w:t>V</w:t>
      </w:r>
      <w:r w:rsidR="0035160B">
        <w:rPr>
          <w:rFonts w:ascii="Arial" w:hAnsi="Arial" w:cs="Arial"/>
          <w:sz w:val="20"/>
          <w:szCs w:val="20"/>
          <w:lang w:val="cs-CZ"/>
        </w:rPr>
        <w:t> 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pokročilých </w:t>
      </w:r>
      <w:r w:rsidR="00190A41">
        <w:rPr>
          <w:rFonts w:ascii="Arial" w:hAnsi="Arial" w:cs="Arial"/>
          <w:sz w:val="20"/>
          <w:szCs w:val="20"/>
          <w:lang w:val="cs-CZ"/>
        </w:rPr>
        <w:t xml:space="preserve">fázích </w:t>
      </w:r>
      <w:r w:rsidRPr="00B83D8C">
        <w:rPr>
          <w:rFonts w:ascii="Arial" w:hAnsi="Arial" w:cs="Arial"/>
          <w:sz w:val="20"/>
          <w:szCs w:val="20"/>
          <w:lang w:val="cs-CZ"/>
        </w:rPr>
        <w:t>jednání jsou</w:t>
      </w:r>
      <w:r w:rsidR="000470B6">
        <w:rPr>
          <w:rFonts w:ascii="Arial" w:hAnsi="Arial" w:cs="Arial"/>
          <w:sz w:val="20"/>
          <w:szCs w:val="20"/>
          <w:lang w:val="cs-CZ"/>
        </w:rPr>
        <w:t xml:space="preserve"> dále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 pronájmy prostor pro renomovanou mezinárodní pekárenskou značku a řetězec veganských a vegetariánských restaurací</w:t>
      </w:r>
    </w:p>
    <w:p w14:paraId="1BEE84F6" w14:textId="77777777" w:rsidR="0035160B" w:rsidRDefault="0035160B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14:paraId="7CF63494" w14:textId="6771AF39" w:rsidR="00C63BB2" w:rsidRDefault="00F357C7" w:rsidP="00C63BB2">
      <w:pPr>
        <w:spacing w:line="312" w:lineRule="auto"/>
        <w:ind w:right="-542"/>
        <w:contextualSpacing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A56CFA">
        <w:rPr>
          <w:rFonts w:ascii="Arial" w:hAnsi="Arial" w:cs="Arial"/>
          <w:b/>
          <w:bCs/>
          <w:sz w:val="20"/>
          <w:szCs w:val="20"/>
          <w:lang w:val="cs-CZ"/>
        </w:rPr>
        <w:t xml:space="preserve">Pavel Novák, </w:t>
      </w:r>
      <w:proofErr w:type="spellStart"/>
      <w:r>
        <w:rPr>
          <w:rFonts w:ascii="Arial" w:hAnsi="Arial" w:cs="Arial"/>
          <w:b/>
          <w:bCs/>
          <w:sz w:val="20"/>
          <w:szCs w:val="20"/>
          <w:lang w:val="cs-CZ"/>
        </w:rPr>
        <w:t>Head</w:t>
      </w:r>
      <w:proofErr w:type="spellEnd"/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cs-CZ"/>
        </w:rPr>
        <w:t>of</w:t>
      </w:r>
      <w:proofErr w:type="spellEnd"/>
      <w:r>
        <w:rPr>
          <w:rFonts w:ascii="Arial" w:hAnsi="Arial" w:cs="Arial"/>
          <w:b/>
          <w:bCs/>
          <w:sz w:val="20"/>
          <w:szCs w:val="20"/>
          <w:lang w:val="cs-CZ"/>
        </w:rPr>
        <w:t xml:space="preserve"> Office </w:t>
      </w:r>
      <w:proofErr w:type="spellStart"/>
      <w:r>
        <w:rPr>
          <w:rFonts w:ascii="Arial" w:hAnsi="Arial" w:cs="Arial"/>
          <w:b/>
          <w:bCs/>
          <w:sz w:val="20"/>
          <w:szCs w:val="20"/>
          <w:lang w:val="cs-CZ"/>
        </w:rPr>
        <w:t>Agency</w:t>
      </w:r>
      <w:proofErr w:type="spellEnd"/>
      <w:r>
        <w:rPr>
          <w:rFonts w:ascii="Arial" w:hAnsi="Arial" w:cs="Arial"/>
          <w:b/>
          <w:bCs/>
          <w:sz w:val="20"/>
          <w:szCs w:val="20"/>
          <w:lang w:val="cs-CZ"/>
        </w:rPr>
        <w:t xml:space="preserve"> v </w:t>
      </w:r>
      <w:proofErr w:type="spellStart"/>
      <w:r>
        <w:rPr>
          <w:rFonts w:ascii="Arial" w:hAnsi="Arial" w:cs="Arial"/>
          <w:b/>
          <w:bCs/>
          <w:sz w:val="20"/>
          <w:szCs w:val="20"/>
          <w:lang w:val="cs-CZ"/>
        </w:rPr>
        <w:t>Sa</w:t>
      </w:r>
      <w:r w:rsidRPr="00A56CFA">
        <w:rPr>
          <w:rFonts w:ascii="Arial" w:hAnsi="Arial" w:cs="Arial"/>
          <w:b/>
          <w:bCs/>
          <w:sz w:val="20"/>
          <w:szCs w:val="20"/>
          <w:lang w:val="cs-CZ"/>
        </w:rPr>
        <w:t>vills</w:t>
      </w:r>
      <w:proofErr w:type="spellEnd"/>
      <w:r w:rsidRPr="00B83D8C">
        <w:rPr>
          <w:rFonts w:ascii="Arial" w:hAnsi="Arial" w:cs="Arial"/>
          <w:sz w:val="20"/>
          <w:szCs w:val="20"/>
          <w:lang w:val="cs-CZ"/>
        </w:rPr>
        <w:t xml:space="preserve">, </w:t>
      </w:r>
      <w:r w:rsidR="00E00AD4">
        <w:rPr>
          <w:rFonts w:ascii="Arial" w:hAnsi="Arial" w:cs="Arial"/>
          <w:sz w:val="20"/>
          <w:szCs w:val="20"/>
          <w:lang w:val="cs-CZ"/>
        </w:rPr>
        <w:t>dodává: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="00C63BB2" w:rsidRPr="00C63BB2">
        <w:rPr>
          <w:rFonts w:ascii="Arial" w:hAnsi="Arial" w:cs="Arial"/>
          <w:i/>
          <w:iCs/>
          <w:sz w:val="20"/>
          <w:szCs w:val="20"/>
          <w:lang w:val="cs-CZ"/>
        </w:rPr>
        <w:t xml:space="preserve">„Kancelářské budovy v centru Prahy jsou pro firmy vždy atraktivní díky své výhodné lokalitě. V případě této budovy navíc oceňují poskytované služby v rámci obchodní galerie, dostupnost přímo na metru a třeba i výhledy </w:t>
      </w:r>
      <w:r w:rsidR="00C63BB2" w:rsidRPr="00C63BB2">
        <w:rPr>
          <w:rFonts w:ascii="Arial" w:hAnsi="Arial" w:cs="Arial"/>
          <w:i/>
          <w:iCs/>
          <w:sz w:val="20"/>
          <w:szCs w:val="20"/>
          <w:lang w:val="cs-CZ"/>
        </w:rPr>
        <w:lastRenderedPageBreak/>
        <w:t>z</w:t>
      </w:r>
      <w:r w:rsidR="004F6F63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C63BB2" w:rsidRPr="00C63BB2">
        <w:rPr>
          <w:rFonts w:ascii="Arial" w:hAnsi="Arial" w:cs="Arial"/>
          <w:i/>
          <w:iCs/>
          <w:sz w:val="20"/>
          <w:szCs w:val="20"/>
          <w:lang w:val="cs-CZ"/>
        </w:rPr>
        <w:t xml:space="preserve">nejvyšších pater. Právě tyto faktory mimo jiné vedly k prodloužení smluv s dlouhodobými nájemci. Například Philip Morris </w:t>
      </w:r>
      <w:r w:rsidR="006E6C9D">
        <w:rPr>
          <w:rFonts w:ascii="Arial" w:hAnsi="Arial" w:cs="Arial"/>
          <w:i/>
          <w:iCs/>
          <w:sz w:val="20"/>
          <w:szCs w:val="20"/>
          <w:lang w:val="cs-CZ"/>
        </w:rPr>
        <w:t xml:space="preserve">si </w:t>
      </w:r>
      <w:r w:rsidR="00C63BB2" w:rsidRPr="00C63BB2">
        <w:rPr>
          <w:rFonts w:ascii="Arial" w:hAnsi="Arial" w:cs="Arial"/>
          <w:i/>
          <w:iCs/>
          <w:sz w:val="20"/>
          <w:szCs w:val="20"/>
          <w:lang w:val="cs-CZ"/>
        </w:rPr>
        <w:t>zde pronajímá téměř 3 500 m² a Cisco 2 800 m²."</w:t>
      </w:r>
    </w:p>
    <w:p w14:paraId="463A543B" w14:textId="0C4C1891" w:rsidR="00C63BB2" w:rsidRDefault="00C63BB2" w:rsidP="00F357C7">
      <w:pPr>
        <w:spacing w:line="312" w:lineRule="auto"/>
        <w:ind w:right="-542"/>
        <w:contextualSpacing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247D47CE" w14:textId="7C303058" w:rsidR="00B83D8C" w:rsidRPr="00F6116F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u w:val="single"/>
          <w:lang w:val="cs-CZ"/>
        </w:rPr>
      </w:pPr>
      <w:r w:rsidRPr="00F6116F"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Architektonické změny, redesign a </w:t>
      </w:r>
      <w:proofErr w:type="spellStart"/>
      <w:r w:rsidRPr="00F6116F">
        <w:rPr>
          <w:rFonts w:ascii="Arial" w:hAnsi="Arial" w:cs="Arial"/>
          <w:b/>
          <w:bCs/>
          <w:sz w:val="20"/>
          <w:szCs w:val="20"/>
          <w:u w:val="single"/>
          <w:lang w:val="cs-CZ"/>
        </w:rPr>
        <w:t>rebranding</w:t>
      </w:r>
      <w:proofErr w:type="spellEnd"/>
    </w:p>
    <w:p w14:paraId="0692BFE4" w14:textId="0F5BF91F" w:rsidR="00190A41" w:rsidRPr="00B83D8C" w:rsidRDefault="006E6C9D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 xml:space="preserve">V rámci rekonstrukce </w:t>
      </w:r>
      <w:r w:rsidR="003663E8">
        <w:rPr>
          <w:rFonts w:ascii="Arial" w:hAnsi="Arial" w:cs="Arial"/>
          <w:i/>
          <w:iCs/>
          <w:sz w:val="20"/>
          <w:szCs w:val="20"/>
          <w:lang w:val="cs-CZ"/>
        </w:rPr>
        <w:t xml:space="preserve">vlastník plánuje 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>úprav</w:t>
      </w:r>
      <w:r w:rsidR="00701E15">
        <w:rPr>
          <w:rFonts w:ascii="Arial" w:hAnsi="Arial" w:cs="Arial"/>
          <w:i/>
          <w:iCs/>
          <w:sz w:val="20"/>
          <w:szCs w:val="20"/>
          <w:lang w:val="cs-CZ"/>
        </w:rPr>
        <w:t>u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 xml:space="preserve"> fasády centra. Návrh respektuje stávající </w:t>
      </w:r>
      <w:r w:rsidR="00190A41">
        <w:rPr>
          <w:rFonts w:ascii="Arial" w:hAnsi="Arial" w:cs="Arial"/>
          <w:i/>
          <w:iCs/>
          <w:sz w:val="20"/>
          <w:szCs w:val="20"/>
          <w:lang w:val="cs-CZ"/>
        </w:rPr>
        <w:t xml:space="preserve">podobu 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>budov</w:t>
      </w:r>
      <w:r w:rsidR="00190A41">
        <w:rPr>
          <w:rFonts w:ascii="Arial" w:hAnsi="Arial" w:cs="Arial"/>
          <w:i/>
          <w:iCs/>
          <w:sz w:val="20"/>
          <w:szCs w:val="20"/>
          <w:lang w:val="cs-CZ"/>
        </w:rPr>
        <w:t>y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 xml:space="preserve"> a vychází z</w:t>
      </w:r>
      <w:r w:rsidR="00A6048D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 xml:space="preserve">jednoduchosti její architektury. Nedílnou součástí je </w:t>
      </w:r>
      <w:r w:rsidR="00A6048D">
        <w:rPr>
          <w:rFonts w:ascii="Arial" w:hAnsi="Arial" w:cs="Arial"/>
          <w:i/>
          <w:iCs/>
          <w:sz w:val="20"/>
          <w:szCs w:val="20"/>
          <w:lang w:val="cs-CZ"/>
        </w:rPr>
        <w:t>určitě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proofErr w:type="spellStart"/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>rebranding</w:t>
      </w:r>
      <w:proofErr w:type="spellEnd"/>
      <w:r w:rsidR="00701E15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 xml:space="preserve"> Design log jednotlivých nájemců a obchodního domu jako takového bude sjednocen a</w:t>
      </w:r>
      <w:r w:rsidR="00701E15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>velkoplošná reklama a barevné polepy budou odstraněny</w:t>
      </w:r>
      <w:r w:rsidR="00190A41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B83D8C" w:rsidRPr="00701E15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190A41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190A41">
        <w:rPr>
          <w:rFonts w:ascii="Arial" w:hAnsi="Arial" w:cs="Arial"/>
          <w:sz w:val="20"/>
          <w:szCs w:val="20"/>
          <w:lang w:val="cs-CZ"/>
        </w:rPr>
        <w:t xml:space="preserve">vysvětluje </w:t>
      </w:r>
      <w:r w:rsidR="00190A41" w:rsidRPr="00701E15">
        <w:rPr>
          <w:rFonts w:ascii="Arial" w:hAnsi="Arial" w:cs="Arial"/>
          <w:b/>
          <w:bCs/>
          <w:sz w:val="20"/>
          <w:szCs w:val="20"/>
          <w:lang w:val="cs-CZ"/>
        </w:rPr>
        <w:t xml:space="preserve">Anna Pospíchalová, </w:t>
      </w:r>
      <w:r w:rsidR="00802095">
        <w:rPr>
          <w:rFonts w:ascii="Arial" w:hAnsi="Arial" w:cs="Arial"/>
          <w:b/>
          <w:bCs/>
          <w:sz w:val="20"/>
          <w:szCs w:val="20"/>
          <w:lang w:val="cs-CZ"/>
        </w:rPr>
        <w:t xml:space="preserve">architekt v oddělení </w:t>
      </w:r>
      <w:r w:rsidR="00190A41">
        <w:rPr>
          <w:rFonts w:ascii="Arial" w:hAnsi="Arial" w:cs="Arial"/>
          <w:b/>
          <w:bCs/>
          <w:sz w:val="20"/>
          <w:szCs w:val="20"/>
          <w:lang w:val="cs-CZ"/>
        </w:rPr>
        <w:t xml:space="preserve">Building </w:t>
      </w:r>
      <w:proofErr w:type="spellStart"/>
      <w:r w:rsidR="00190A41">
        <w:rPr>
          <w:rFonts w:ascii="Arial" w:hAnsi="Arial" w:cs="Arial"/>
          <w:b/>
          <w:bCs/>
          <w:sz w:val="20"/>
          <w:szCs w:val="20"/>
          <w:lang w:val="cs-CZ"/>
        </w:rPr>
        <w:t>Consultancy</w:t>
      </w:r>
      <w:proofErr w:type="spellEnd"/>
      <w:r w:rsidR="00190A41">
        <w:rPr>
          <w:rFonts w:ascii="Arial" w:hAnsi="Arial" w:cs="Arial"/>
          <w:b/>
          <w:bCs/>
          <w:sz w:val="20"/>
          <w:szCs w:val="20"/>
          <w:lang w:val="cs-CZ"/>
        </w:rPr>
        <w:t xml:space="preserve"> v </w:t>
      </w:r>
      <w:r w:rsidR="00190A41" w:rsidRPr="00701E15">
        <w:rPr>
          <w:rFonts w:ascii="Arial" w:hAnsi="Arial" w:cs="Arial"/>
          <w:b/>
          <w:bCs/>
          <w:sz w:val="20"/>
          <w:szCs w:val="20"/>
          <w:lang w:val="cs-CZ"/>
        </w:rPr>
        <w:t>CBRE</w:t>
      </w:r>
      <w:r w:rsidR="00190A41">
        <w:rPr>
          <w:rFonts w:ascii="Arial" w:hAnsi="Arial" w:cs="Arial"/>
          <w:sz w:val="20"/>
          <w:szCs w:val="20"/>
          <w:lang w:val="cs-CZ"/>
        </w:rPr>
        <w:t>.</w:t>
      </w:r>
    </w:p>
    <w:p w14:paraId="2F974BB8" w14:textId="77777777" w:rsidR="000470B6" w:rsidRPr="00B83D8C" w:rsidRDefault="000470B6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14:paraId="6D45FCB7" w14:textId="4D164266" w:rsidR="00B83D8C" w:rsidRPr="00B83D8C" w:rsidRDefault="007F1717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Cílem</w:t>
      </w:r>
      <w:r w:rsidR="00B83D8C" w:rsidRPr="00B83D8C">
        <w:rPr>
          <w:rFonts w:ascii="Arial" w:hAnsi="Arial" w:cs="Arial"/>
          <w:sz w:val="20"/>
          <w:szCs w:val="20"/>
          <w:lang w:val="cs-CZ"/>
        </w:rPr>
        <w:t xml:space="preserve"> je zklidnit vizuální obraz budovy ve veřejném prostoru a zároveň podpořit viditelnost vstupů do </w:t>
      </w:r>
      <w:r w:rsidR="00190A41">
        <w:rPr>
          <w:rFonts w:ascii="Arial" w:hAnsi="Arial" w:cs="Arial"/>
          <w:sz w:val="20"/>
          <w:szCs w:val="20"/>
          <w:lang w:val="cs-CZ"/>
        </w:rPr>
        <w:t>centra</w:t>
      </w:r>
      <w:r w:rsidR="00B83D8C" w:rsidRPr="00B83D8C">
        <w:rPr>
          <w:rFonts w:ascii="Arial" w:hAnsi="Arial" w:cs="Arial"/>
          <w:sz w:val="20"/>
          <w:szCs w:val="20"/>
          <w:lang w:val="cs-CZ"/>
        </w:rPr>
        <w:t xml:space="preserve">, hlavně do </w:t>
      </w:r>
      <w:r w:rsidR="00190A41">
        <w:rPr>
          <w:rFonts w:ascii="Arial" w:hAnsi="Arial" w:cs="Arial"/>
          <w:sz w:val="20"/>
          <w:szCs w:val="20"/>
          <w:lang w:val="cs-CZ"/>
        </w:rPr>
        <w:t>jeho</w:t>
      </w:r>
      <w:r w:rsidR="00190A41"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="00B83D8C" w:rsidRPr="00B83D8C">
        <w:rPr>
          <w:rFonts w:ascii="Arial" w:hAnsi="Arial" w:cs="Arial"/>
          <w:sz w:val="20"/>
          <w:szCs w:val="20"/>
          <w:lang w:val="cs-CZ"/>
        </w:rPr>
        <w:t>obchodní části. Vstup do kancelářských prostor je záměrně potlačen. Fasádu budou doplňovat kvalitní materiály</w:t>
      </w:r>
      <w:r w:rsidR="00C85495">
        <w:rPr>
          <w:rFonts w:ascii="Arial" w:hAnsi="Arial" w:cs="Arial"/>
          <w:sz w:val="20"/>
          <w:szCs w:val="20"/>
          <w:lang w:val="cs-CZ"/>
        </w:rPr>
        <w:t>, mezi kterými vynikne</w:t>
      </w:r>
      <w:r w:rsidR="00B83D8C" w:rsidRPr="00B83D8C">
        <w:rPr>
          <w:rFonts w:ascii="Arial" w:hAnsi="Arial" w:cs="Arial"/>
          <w:sz w:val="20"/>
          <w:szCs w:val="20"/>
          <w:lang w:val="cs-CZ"/>
        </w:rPr>
        <w:t xml:space="preserve"> černé matné sklo rámující portál vstupu do</w:t>
      </w:r>
      <w:r w:rsidR="00C471BE">
        <w:rPr>
          <w:rFonts w:ascii="Arial" w:hAnsi="Arial" w:cs="Arial"/>
          <w:sz w:val="20"/>
          <w:szCs w:val="20"/>
          <w:lang w:val="cs-CZ"/>
        </w:rPr>
        <w:t> </w:t>
      </w:r>
      <w:r w:rsidR="00B83D8C" w:rsidRPr="00B83D8C">
        <w:rPr>
          <w:rFonts w:ascii="Arial" w:hAnsi="Arial" w:cs="Arial"/>
          <w:sz w:val="20"/>
          <w:szCs w:val="20"/>
          <w:lang w:val="cs-CZ"/>
        </w:rPr>
        <w:t xml:space="preserve">obchodního domu a zrcadlový prolamovaný nerezový plech použitý na podhled prostoru. Důležitým elementem je </w:t>
      </w:r>
      <w:r w:rsidR="00C85495">
        <w:rPr>
          <w:rFonts w:ascii="Arial" w:hAnsi="Arial" w:cs="Arial"/>
          <w:sz w:val="20"/>
          <w:szCs w:val="20"/>
          <w:lang w:val="cs-CZ"/>
        </w:rPr>
        <w:t xml:space="preserve">rovněž </w:t>
      </w:r>
      <w:r w:rsidR="00B83D8C" w:rsidRPr="00B83D8C">
        <w:rPr>
          <w:rFonts w:ascii="Arial" w:hAnsi="Arial" w:cs="Arial"/>
          <w:sz w:val="20"/>
          <w:szCs w:val="20"/>
          <w:lang w:val="cs-CZ"/>
        </w:rPr>
        <w:t>světlo jak přirozené, tak umělé.</w:t>
      </w:r>
    </w:p>
    <w:p w14:paraId="30FCF337" w14:textId="77777777" w:rsidR="00B83D8C" w:rsidRPr="00B83D8C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14:paraId="730B4CD5" w14:textId="5670E4D0" w:rsidR="00B83D8C" w:rsidRPr="006C1512" w:rsidRDefault="00B83D8C" w:rsidP="212090B7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6C1512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C85495" w:rsidRPr="006C1512">
        <w:rPr>
          <w:rFonts w:ascii="Arial" w:hAnsi="Arial" w:cs="Arial"/>
          <w:i/>
          <w:iCs/>
          <w:sz w:val="20"/>
          <w:szCs w:val="20"/>
          <w:lang w:val="cs-CZ"/>
        </w:rPr>
        <w:t>Proměna</w:t>
      </w:r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 ček</w:t>
      </w:r>
      <w:r w:rsidR="00C85495" w:rsidRPr="006C1512">
        <w:rPr>
          <w:rFonts w:ascii="Arial" w:hAnsi="Arial" w:cs="Arial"/>
          <w:i/>
          <w:iCs/>
          <w:sz w:val="20"/>
          <w:szCs w:val="20"/>
          <w:lang w:val="cs-CZ"/>
        </w:rPr>
        <w:t>á</w:t>
      </w:r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 jednotky nových </w:t>
      </w:r>
      <w:r w:rsidR="00C85495"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i </w:t>
      </w:r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stávajících nájemců. Jedná se </w:t>
      </w:r>
      <w:r w:rsidR="00802095"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například </w:t>
      </w:r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o tvorbu prostoru Shell &amp; </w:t>
      </w:r>
      <w:proofErr w:type="spellStart"/>
      <w:r w:rsidRPr="006C1512">
        <w:rPr>
          <w:rFonts w:ascii="Arial" w:hAnsi="Arial" w:cs="Arial"/>
          <w:i/>
          <w:iCs/>
          <w:sz w:val="20"/>
          <w:szCs w:val="20"/>
          <w:lang w:val="cs-CZ"/>
        </w:rPr>
        <w:t>Core</w:t>
      </w:r>
      <w:proofErr w:type="spellEnd"/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 pro fastfoodový řetězec </w:t>
      </w:r>
      <w:proofErr w:type="spellStart"/>
      <w:r w:rsidRPr="006C1512">
        <w:rPr>
          <w:rFonts w:ascii="Arial" w:hAnsi="Arial" w:cs="Arial"/>
          <w:i/>
          <w:iCs/>
          <w:sz w:val="20"/>
          <w:szCs w:val="20"/>
          <w:lang w:val="cs-CZ"/>
        </w:rPr>
        <w:t>McDonald’s</w:t>
      </w:r>
      <w:proofErr w:type="spellEnd"/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 a další gastronomické provozovatele. </w:t>
      </w:r>
      <w:r w:rsidR="00C723E2">
        <w:rPr>
          <w:rFonts w:ascii="Arial" w:hAnsi="Arial" w:cs="Arial"/>
          <w:i/>
          <w:iCs/>
          <w:sz w:val="20"/>
          <w:szCs w:val="20"/>
          <w:lang w:val="cs-CZ"/>
        </w:rPr>
        <w:t>Spolu s</w:t>
      </w:r>
      <w:r w:rsidR="001221E8">
        <w:rPr>
          <w:rFonts w:ascii="Arial" w:hAnsi="Arial" w:cs="Arial"/>
          <w:i/>
          <w:iCs/>
          <w:sz w:val="20"/>
          <w:szCs w:val="20"/>
          <w:lang w:val="cs-CZ"/>
        </w:rPr>
        <w:t xml:space="preserve"> vlastníkem </w:t>
      </w:r>
      <w:r w:rsidR="00C723E2">
        <w:rPr>
          <w:rFonts w:ascii="Arial" w:hAnsi="Arial" w:cs="Arial"/>
          <w:i/>
          <w:iCs/>
          <w:sz w:val="20"/>
          <w:szCs w:val="20"/>
          <w:lang w:val="cs-CZ"/>
        </w:rPr>
        <w:t>c</w:t>
      </w:r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hceme </w:t>
      </w:r>
      <w:r w:rsidR="00C85495"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maximálně </w:t>
      </w:r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využít potenciál místa, </w:t>
      </w:r>
      <w:r w:rsidR="00C85495"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oživit </w:t>
      </w:r>
      <w:r w:rsidRPr="006C1512">
        <w:rPr>
          <w:rFonts w:ascii="Arial" w:hAnsi="Arial" w:cs="Arial"/>
          <w:i/>
          <w:iCs/>
          <w:sz w:val="20"/>
          <w:szCs w:val="20"/>
          <w:lang w:val="cs-CZ"/>
        </w:rPr>
        <w:t>polyfunkční centr</w:t>
      </w:r>
      <w:r w:rsidR="00C85495" w:rsidRPr="006C1512">
        <w:rPr>
          <w:rFonts w:ascii="Arial" w:hAnsi="Arial" w:cs="Arial"/>
          <w:i/>
          <w:iCs/>
          <w:sz w:val="20"/>
          <w:szCs w:val="20"/>
          <w:lang w:val="cs-CZ"/>
        </w:rPr>
        <w:t>um</w:t>
      </w:r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 i z ulice a </w:t>
      </w:r>
      <w:r w:rsidR="00C85495"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přilákat tak </w:t>
      </w:r>
      <w:r w:rsidRPr="006C1512">
        <w:rPr>
          <w:rFonts w:ascii="Arial" w:hAnsi="Arial" w:cs="Arial"/>
          <w:i/>
          <w:iCs/>
          <w:sz w:val="20"/>
          <w:szCs w:val="20"/>
          <w:lang w:val="cs-CZ"/>
        </w:rPr>
        <w:t xml:space="preserve">co nejvíce </w:t>
      </w:r>
      <w:r w:rsidR="00802095" w:rsidRPr="006C1512">
        <w:rPr>
          <w:rFonts w:ascii="Arial" w:hAnsi="Arial" w:cs="Arial"/>
          <w:i/>
          <w:iCs/>
          <w:sz w:val="20"/>
          <w:szCs w:val="20"/>
          <w:lang w:val="cs-CZ"/>
        </w:rPr>
        <w:t>návštěvníků</w:t>
      </w:r>
      <w:r w:rsidR="00C471BE" w:rsidRPr="006C1512">
        <w:rPr>
          <w:rFonts w:ascii="Arial" w:hAnsi="Arial" w:cs="Arial"/>
          <w:i/>
          <w:iCs/>
          <w:sz w:val="20"/>
          <w:szCs w:val="20"/>
          <w:lang w:val="cs-CZ"/>
        </w:rPr>
        <w:t>,“</w:t>
      </w:r>
      <w:r w:rsidR="00C471BE" w:rsidRPr="006C1512">
        <w:rPr>
          <w:rFonts w:ascii="Arial" w:hAnsi="Arial" w:cs="Arial"/>
          <w:sz w:val="20"/>
          <w:szCs w:val="20"/>
          <w:lang w:val="cs-CZ"/>
        </w:rPr>
        <w:t xml:space="preserve"> </w:t>
      </w:r>
      <w:r w:rsidR="007F200B" w:rsidRPr="006C1512">
        <w:rPr>
          <w:rFonts w:ascii="Arial" w:hAnsi="Arial" w:cs="Arial"/>
          <w:sz w:val="20"/>
          <w:szCs w:val="20"/>
          <w:lang w:val="cs-CZ"/>
        </w:rPr>
        <w:t xml:space="preserve">říká </w:t>
      </w:r>
      <w:r w:rsidR="00C471BE" w:rsidRPr="006C1512">
        <w:rPr>
          <w:rFonts w:ascii="Arial" w:hAnsi="Arial" w:cs="Arial"/>
          <w:b/>
          <w:bCs/>
          <w:sz w:val="20"/>
          <w:szCs w:val="20"/>
          <w:lang w:val="cs-CZ"/>
        </w:rPr>
        <w:t xml:space="preserve">Barbara Jesenská, </w:t>
      </w:r>
      <w:r w:rsidR="00802095" w:rsidRPr="006C1512">
        <w:rPr>
          <w:rFonts w:ascii="Arial" w:hAnsi="Arial" w:cs="Arial"/>
          <w:b/>
          <w:bCs/>
          <w:sz w:val="20"/>
          <w:szCs w:val="20"/>
          <w:lang w:val="cs-CZ"/>
        </w:rPr>
        <w:t>projektová manažerka v oddělení</w:t>
      </w:r>
      <w:r w:rsidR="00F357C7" w:rsidRPr="006C1512">
        <w:rPr>
          <w:rFonts w:ascii="Arial" w:hAnsi="Arial" w:cs="Arial"/>
          <w:b/>
          <w:bCs/>
          <w:sz w:val="20"/>
          <w:szCs w:val="20"/>
          <w:lang w:val="cs-CZ"/>
        </w:rPr>
        <w:t xml:space="preserve"> Buil</w:t>
      </w:r>
      <w:r w:rsidR="00C471BE" w:rsidRPr="006C1512">
        <w:rPr>
          <w:rFonts w:ascii="Arial" w:hAnsi="Arial" w:cs="Arial"/>
          <w:b/>
          <w:bCs/>
          <w:sz w:val="20"/>
          <w:szCs w:val="20"/>
          <w:lang w:val="cs-CZ"/>
        </w:rPr>
        <w:t xml:space="preserve">ding </w:t>
      </w:r>
      <w:proofErr w:type="spellStart"/>
      <w:r w:rsidR="00C471BE" w:rsidRPr="006C1512">
        <w:rPr>
          <w:rFonts w:ascii="Arial" w:hAnsi="Arial" w:cs="Arial"/>
          <w:b/>
          <w:bCs/>
          <w:sz w:val="20"/>
          <w:szCs w:val="20"/>
          <w:lang w:val="cs-CZ"/>
        </w:rPr>
        <w:t>Consultancy</w:t>
      </w:r>
      <w:proofErr w:type="spellEnd"/>
      <w:r w:rsidR="00C471BE" w:rsidRPr="006C1512">
        <w:rPr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="007F200B" w:rsidRPr="006C1512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C471BE" w:rsidRPr="006C1512">
        <w:rPr>
          <w:rFonts w:ascii="Arial" w:hAnsi="Arial" w:cs="Arial"/>
          <w:b/>
          <w:bCs/>
          <w:sz w:val="20"/>
          <w:szCs w:val="20"/>
          <w:lang w:val="cs-CZ"/>
        </w:rPr>
        <w:t>CBRE</w:t>
      </w:r>
      <w:r w:rsidR="007F200B" w:rsidRPr="006C1512">
        <w:rPr>
          <w:rFonts w:ascii="Arial" w:hAnsi="Arial" w:cs="Arial"/>
          <w:sz w:val="20"/>
          <w:szCs w:val="20"/>
          <w:lang w:val="cs-CZ"/>
        </w:rPr>
        <w:t>.</w:t>
      </w:r>
      <w:r w:rsidR="00C471BE" w:rsidRPr="006C1512">
        <w:rPr>
          <w:rFonts w:ascii="Arial" w:hAnsi="Arial" w:cs="Arial"/>
          <w:sz w:val="20"/>
          <w:szCs w:val="20"/>
          <w:lang w:val="cs-CZ"/>
        </w:rPr>
        <w:t xml:space="preserve"> </w:t>
      </w:r>
      <w:r w:rsidRPr="006C151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38F8F01" w14:textId="77777777" w:rsidR="00B83D8C" w:rsidRPr="00B83D8C" w:rsidRDefault="00B83D8C" w:rsidP="00B83D8C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14:paraId="38C6215E" w14:textId="4A221F3E" w:rsidR="00B83D8C" w:rsidRPr="00B83D8C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F357C7">
        <w:rPr>
          <w:rFonts w:ascii="Arial" w:hAnsi="Arial" w:cs="Arial"/>
          <w:b/>
          <w:bCs/>
          <w:sz w:val="20"/>
          <w:szCs w:val="20"/>
          <w:lang w:val="cs-CZ"/>
        </w:rPr>
        <w:t xml:space="preserve">Světlo </w:t>
      </w:r>
      <w:r w:rsidR="00685AA6">
        <w:rPr>
          <w:rFonts w:ascii="Arial" w:hAnsi="Arial" w:cs="Arial"/>
          <w:b/>
          <w:bCs/>
          <w:sz w:val="20"/>
          <w:szCs w:val="20"/>
          <w:lang w:val="cs-CZ"/>
        </w:rPr>
        <w:t xml:space="preserve">jako </w:t>
      </w:r>
      <w:r w:rsidRPr="00F357C7">
        <w:rPr>
          <w:rFonts w:ascii="Arial" w:hAnsi="Arial" w:cs="Arial"/>
          <w:b/>
          <w:bCs/>
          <w:sz w:val="20"/>
          <w:szCs w:val="20"/>
          <w:lang w:val="cs-CZ"/>
        </w:rPr>
        <w:t xml:space="preserve">klíčový </w:t>
      </w:r>
      <w:r w:rsidR="00F357C7">
        <w:rPr>
          <w:rFonts w:ascii="Arial" w:hAnsi="Arial" w:cs="Arial"/>
          <w:b/>
          <w:bCs/>
          <w:sz w:val="20"/>
          <w:szCs w:val="20"/>
          <w:lang w:val="cs-CZ"/>
        </w:rPr>
        <w:t>prv</w:t>
      </w:r>
      <w:r w:rsidR="00685AA6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F357C7">
        <w:rPr>
          <w:rFonts w:ascii="Arial" w:hAnsi="Arial" w:cs="Arial"/>
          <w:b/>
          <w:bCs/>
          <w:sz w:val="20"/>
          <w:szCs w:val="20"/>
          <w:lang w:val="cs-CZ"/>
        </w:rPr>
        <w:t xml:space="preserve">k </w:t>
      </w:r>
      <w:r w:rsidRPr="00F357C7">
        <w:rPr>
          <w:rFonts w:ascii="Arial" w:hAnsi="Arial" w:cs="Arial"/>
          <w:b/>
          <w:bCs/>
          <w:sz w:val="20"/>
          <w:szCs w:val="20"/>
          <w:lang w:val="cs-CZ"/>
        </w:rPr>
        <w:t xml:space="preserve">redesignu </w:t>
      </w:r>
    </w:p>
    <w:p w14:paraId="24857EDC" w14:textId="543BB654" w:rsidR="00F357C7" w:rsidRDefault="00B83D8C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B83D8C">
        <w:rPr>
          <w:rFonts w:ascii="Arial" w:hAnsi="Arial" w:cs="Arial"/>
          <w:sz w:val="20"/>
          <w:szCs w:val="20"/>
          <w:lang w:val="cs-CZ"/>
        </w:rPr>
        <w:t xml:space="preserve">V budově bude </w:t>
      </w:r>
      <w:r w:rsidR="00685AA6">
        <w:rPr>
          <w:rFonts w:ascii="Arial" w:hAnsi="Arial" w:cs="Arial"/>
          <w:sz w:val="20"/>
          <w:szCs w:val="20"/>
          <w:lang w:val="cs-CZ"/>
        </w:rPr>
        <w:t>zaveden</w:t>
      </w:r>
      <w:r w:rsidR="00685AA6"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Pr="00B83D8C">
        <w:rPr>
          <w:rFonts w:ascii="Arial" w:hAnsi="Arial" w:cs="Arial"/>
          <w:sz w:val="20"/>
          <w:szCs w:val="20"/>
          <w:lang w:val="cs-CZ"/>
        </w:rPr>
        <w:t>nový osvětlovací systém, který bude reagovat na přirozené světlo a</w:t>
      </w:r>
      <w:r w:rsidR="00F357C7">
        <w:rPr>
          <w:rFonts w:ascii="Arial" w:hAnsi="Arial" w:cs="Arial"/>
          <w:sz w:val="20"/>
          <w:szCs w:val="20"/>
          <w:lang w:val="cs-CZ"/>
        </w:rPr>
        <w:t> </w:t>
      </w:r>
      <w:r w:rsidRPr="00B83D8C">
        <w:rPr>
          <w:rFonts w:ascii="Arial" w:hAnsi="Arial" w:cs="Arial"/>
          <w:sz w:val="20"/>
          <w:szCs w:val="20"/>
          <w:lang w:val="cs-CZ"/>
        </w:rPr>
        <w:t>zlepší celkovou atmosfé</w:t>
      </w:r>
      <w:r w:rsidR="00F357C7">
        <w:rPr>
          <w:rFonts w:ascii="Arial" w:hAnsi="Arial" w:cs="Arial"/>
          <w:sz w:val="20"/>
          <w:szCs w:val="20"/>
          <w:lang w:val="cs-CZ"/>
        </w:rPr>
        <w:t>r</w:t>
      </w:r>
      <w:r w:rsidRPr="00B83D8C">
        <w:rPr>
          <w:rFonts w:ascii="Arial" w:hAnsi="Arial" w:cs="Arial"/>
          <w:sz w:val="20"/>
          <w:szCs w:val="20"/>
          <w:lang w:val="cs-CZ"/>
        </w:rPr>
        <w:t>u prostředí. Nová instalace je navržena</w:t>
      </w:r>
      <w:r w:rsidR="00802095">
        <w:rPr>
          <w:rFonts w:ascii="Arial" w:hAnsi="Arial" w:cs="Arial"/>
          <w:sz w:val="20"/>
          <w:szCs w:val="20"/>
          <w:lang w:val="cs-CZ"/>
        </w:rPr>
        <w:t xml:space="preserve"> tak</w:t>
      </w:r>
      <w:r w:rsidRPr="00B83D8C">
        <w:rPr>
          <w:rFonts w:ascii="Arial" w:hAnsi="Arial" w:cs="Arial"/>
          <w:sz w:val="20"/>
          <w:szCs w:val="20"/>
          <w:lang w:val="cs-CZ"/>
        </w:rPr>
        <w:t>, aby eliminovala nežádoucí odlesky a přebytečné světlo, což přispěje k minimalizaci rušivých rozdílů v jasu a kontrastu při přechodu z exteriéru do interiéru. Výsledkem bude příjemnější prostor, který lépe respektuje okolní prostředí.</w:t>
      </w:r>
      <w:r w:rsidR="00F357C7">
        <w:rPr>
          <w:rFonts w:ascii="Arial" w:hAnsi="Arial" w:cs="Arial"/>
          <w:sz w:val="20"/>
          <w:szCs w:val="20"/>
          <w:lang w:val="cs-CZ"/>
        </w:rPr>
        <w:t xml:space="preserve"> 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Dalším pozitivním aspektem bude maximální využití potenciálu centra. Nové osvětlení umožní lépe vyzdvihnout a prezentovat nabízené produkty a služby. </w:t>
      </w:r>
      <w:r w:rsidR="00FC3947">
        <w:rPr>
          <w:rFonts w:ascii="Arial" w:hAnsi="Arial" w:cs="Arial"/>
          <w:sz w:val="20"/>
          <w:szCs w:val="20"/>
          <w:lang w:val="cs-CZ"/>
        </w:rPr>
        <w:t>Navíc</w:t>
      </w:r>
      <w:r w:rsidR="00FC3947" w:rsidRPr="00B83D8C">
        <w:rPr>
          <w:rFonts w:ascii="Arial" w:hAnsi="Arial" w:cs="Arial"/>
          <w:sz w:val="20"/>
          <w:szCs w:val="20"/>
          <w:lang w:val="cs-CZ"/>
        </w:rPr>
        <w:t xml:space="preserve"> 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bude podporovat prodej a přitahovat více zákazníků, kteří si budou moci vychutnat a prozkoumat sortiment v retailové části. Tím </w:t>
      </w:r>
      <w:r w:rsidR="00685AA6">
        <w:rPr>
          <w:rFonts w:ascii="Arial" w:hAnsi="Arial" w:cs="Arial"/>
          <w:sz w:val="20"/>
          <w:szCs w:val="20"/>
          <w:lang w:val="cs-CZ"/>
        </w:rPr>
        <w:t>vznikne prostor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 pro zvýšení tržeb a úspěšnost nového Karláku.</w:t>
      </w:r>
      <w:r w:rsidR="00685AA6">
        <w:rPr>
          <w:rFonts w:ascii="Arial" w:hAnsi="Arial" w:cs="Arial"/>
          <w:sz w:val="20"/>
          <w:szCs w:val="20"/>
          <w:lang w:val="cs-CZ"/>
        </w:rPr>
        <w:t xml:space="preserve"> 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Celkově tedy rekonstrukce polyfunkčního centra přinese pozitivní změny v čistotě vizuálního prostředí </w:t>
      </w:r>
      <w:r w:rsidR="00685AA6">
        <w:rPr>
          <w:rFonts w:ascii="Arial" w:hAnsi="Arial" w:cs="Arial"/>
          <w:sz w:val="20"/>
          <w:szCs w:val="20"/>
          <w:lang w:val="cs-CZ"/>
        </w:rPr>
        <w:t>i</w:t>
      </w:r>
      <w:r w:rsidRPr="00B83D8C">
        <w:rPr>
          <w:rFonts w:ascii="Arial" w:hAnsi="Arial" w:cs="Arial"/>
          <w:sz w:val="20"/>
          <w:szCs w:val="20"/>
          <w:lang w:val="cs-CZ"/>
        </w:rPr>
        <w:t xml:space="preserve"> využití jeho potenciálu. </w:t>
      </w:r>
    </w:p>
    <w:p w14:paraId="1601D964" w14:textId="77777777" w:rsidR="00685AA6" w:rsidRPr="00B83D8C" w:rsidRDefault="00685AA6" w:rsidP="00B83D8C">
      <w:pPr>
        <w:spacing w:line="312" w:lineRule="auto"/>
        <w:ind w:right="-542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14:paraId="4C8AE763" w14:textId="464CDA63" w:rsidR="00D31153" w:rsidRPr="00A62DFD" w:rsidRDefault="00D31153" w:rsidP="009A5760">
      <w:pPr>
        <w:spacing w:line="312" w:lineRule="auto"/>
        <w:contextualSpacing/>
        <w:jc w:val="center"/>
        <w:rPr>
          <w:rFonts w:ascii="Arial" w:hAnsi="Arial" w:cs="Arial"/>
          <w:sz w:val="20"/>
          <w:szCs w:val="20"/>
          <w:lang w:val="cs-CZ"/>
        </w:rPr>
      </w:pPr>
      <w:r w:rsidRPr="00A62DFD">
        <w:rPr>
          <w:rFonts w:ascii="Arial" w:hAnsi="Arial" w:cs="Arial"/>
          <w:sz w:val="20"/>
          <w:szCs w:val="20"/>
          <w:lang w:val="cs-CZ"/>
        </w:rPr>
        <w:t>-konec-</w:t>
      </w:r>
    </w:p>
    <w:p w14:paraId="5DDF9CB8" w14:textId="77777777" w:rsidR="002023E1" w:rsidRPr="00A62DFD" w:rsidRDefault="002023E1" w:rsidP="00D97D6B">
      <w:pPr>
        <w:spacing w:line="312" w:lineRule="auto"/>
        <w:jc w:val="center"/>
        <w:rPr>
          <w:rFonts w:ascii="Arial" w:hAnsi="Arial" w:cs="Arial"/>
          <w:sz w:val="20"/>
          <w:szCs w:val="20"/>
          <w:lang w:val="cs-CZ"/>
        </w:rPr>
      </w:pPr>
    </w:p>
    <w:p w14:paraId="19470AC1" w14:textId="114671B6" w:rsidR="001109EB" w:rsidRPr="00A62DFD" w:rsidRDefault="00D27C73" w:rsidP="00D97D6B">
      <w:pPr>
        <w:tabs>
          <w:tab w:val="center" w:pos="3981"/>
        </w:tabs>
        <w:spacing w:line="312" w:lineRule="auto"/>
        <w:jc w:val="both"/>
        <w:rPr>
          <w:rFonts w:ascii="Arial" w:eastAsia="Arial" w:hAnsi="Arial" w:cs="Arial"/>
          <w:b/>
          <w:bCs/>
          <w:sz w:val="18"/>
          <w:szCs w:val="18"/>
          <w:lang w:val="cs-CZ"/>
        </w:rPr>
      </w:pPr>
      <w:r w:rsidRPr="00A62DFD">
        <w:rPr>
          <w:rFonts w:ascii="Arial" w:hAnsi="Arial" w:cs="Arial"/>
          <w:b/>
          <w:bCs/>
          <w:sz w:val="18"/>
          <w:szCs w:val="18"/>
          <w:lang w:val="cs-CZ"/>
        </w:rPr>
        <w:t xml:space="preserve">Pro více informací, prosím, kontaktujte: </w:t>
      </w:r>
    </w:p>
    <w:p w14:paraId="2E759B1F" w14:textId="77777777" w:rsidR="001109EB" w:rsidRDefault="001109EB" w:rsidP="00D97D6B">
      <w:pPr>
        <w:spacing w:line="312" w:lineRule="auto"/>
        <w:jc w:val="both"/>
        <w:rPr>
          <w:rStyle w:val="dn"/>
          <w:rFonts w:ascii="Arial" w:eastAsia="Arial" w:hAnsi="Arial" w:cs="Arial"/>
          <w:b/>
          <w:bCs/>
          <w:color w:val="1155CC"/>
          <w:sz w:val="22"/>
          <w:szCs w:val="22"/>
          <w:u w:val="single" w:color="1155CC"/>
          <w:lang w:val="cs-CZ"/>
        </w:rPr>
      </w:pPr>
    </w:p>
    <w:p w14:paraId="56666E0E" w14:textId="77777777" w:rsidR="00685AA6" w:rsidRPr="00685AA6" w:rsidRDefault="00685AA6" w:rsidP="00685AA6">
      <w:pPr>
        <w:pStyle w:val="paragraph"/>
        <w:spacing w:before="0" w:beforeAutospacing="0" w:after="0" w:afterAutospacing="0"/>
        <w:ind w:right="-542"/>
        <w:textAlignment w:val="baseline"/>
        <w:rPr>
          <w:rFonts w:ascii="Arial" w:hAnsi="Arial" w:cs="Arial"/>
          <w:sz w:val="18"/>
          <w:szCs w:val="18"/>
        </w:rPr>
      </w:pPr>
      <w:r w:rsidRPr="00685AA6">
        <w:rPr>
          <w:rStyle w:val="normaltextrun"/>
          <w:rFonts w:ascii="Arial" w:hAnsi="Arial" w:cs="Arial"/>
          <w:b/>
          <w:bCs/>
          <w:sz w:val="18"/>
          <w:szCs w:val="18"/>
          <w:lang w:val="fr-FR"/>
        </w:rPr>
        <w:t>CBRE</w:t>
      </w:r>
      <w:r w:rsidRPr="00685AA6">
        <w:rPr>
          <w:rStyle w:val="normaltextrun"/>
          <w:rFonts w:ascii="Arial" w:hAnsi="Arial" w:cs="Arial"/>
          <w:b/>
          <w:bCs/>
          <w:sz w:val="18"/>
          <w:szCs w:val="18"/>
          <w:lang w:val="cs-CZ"/>
        </w:rPr>
        <w:t> </w:t>
      </w:r>
      <w:r w:rsidRPr="00685AA6">
        <w:rPr>
          <w:rStyle w:val="normaltextrun"/>
          <w:rFonts w:ascii="Arial" w:hAnsi="Arial" w:cs="Arial"/>
          <w:sz w:val="18"/>
          <w:szCs w:val="18"/>
        </w:rPr>
        <w:t> </w:t>
      </w:r>
      <w:r w:rsidRPr="00685AA6">
        <w:rPr>
          <w:rStyle w:val="eop"/>
          <w:rFonts w:ascii="Arial" w:hAnsi="Arial" w:cs="Arial"/>
          <w:sz w:val="18"/>
          <w:szCs w:val="18"/>
        </w:rPr>
        <w:t> </w:t>
      </w:r>
    </w:p>
    <w:p w14:paraId="3298ECD3" w14:textId="77777777" w:rsidR="00685AA6" w:rsidRPr="00685AA6" w:rsidRDefault="00685AA6" w:rsidP="00685AA6">
      <w:pPr>
        <w:pStyle w:val="paragraph"/>
        <w:spacing w:before="0" w:beforeAutospacing="0" w:after="0" w:afterAutospacing="0"/>
        <w:ind w:right="-542"/>
        <w:textAlignment w:val="baseline"/>
        <w:rPr>
          <w:rFonts w:ascii="Arial" w:hAnsi="Arial" w:cs="Arial"/>
          <w:sz w:val="18"/>
          <w:szCs w:val="18"/>
        </w:rPr>
      </w:pPr>
      <w:r w:rsidRPr="00685AA6">
        <w:rPr>
          <w:rStyle w:val="normaltextrun"/>
          <w:rFonts w:ascii="Arial" w:hAnsi="Arial" w:cs="Arial"/>
          <w:sz w:val="18"/>
          <w:szCs w:val="18"/>
          <w:lang w:val="fr-FR"/>
        </w:rPr>
        <w:t xml:space="preserve">Ivana Procházková, Communication Specialist, +420 771 288 023, </w:t>
      </w:r>
      <w:r w:rsidR="008F5895">
        <w:fldChar w:fldCharType="begin"/>
      </w:r>
      <w:r w:rsidR="008F5895">
        <w:instrText>HYPERLINK "mailto:ivana.prochazkova@cbre.com" \t "_blank"</w:instrText>
      </w:r>
      <w:r w:rsidR="008F5895">
        <w:fldChar w:fldCharType="separate"/>
      </w:r>
      <w:r w:rsidRPr="00685AA6">
        <w:rPr>
          <w:rStyle w:val="normaltextrun"/>
          <w:rFonts w:ascii="Arial" w:hAnsi="Arial" w:cs="Arial"/>
          <w:sz w:val="18"/>
          <w:szCs w:val="18"/>
          <w:u w:val="single"/>
          <w:lang w:val="fr-FR"/>
        </w:rPr>
        <w:t>ivana.prochazkova@cbre.com</w:t>
      </w:r>
      <w:r w:rsidR="008F5895">
        <w:rPr>
          <w:rStyle w:val="normaltextrun"/>
          <w:rFonts w:ascii="Arial" w:hAnsi="Arial" w:cs="Arial"/>
          <w:sz w:val="18"/>
          <w:szCs w:val="18"/>
          <w:u w:val="single"/>
          <w:lang w:val="fr-FR"/>
        </w:rPr>
        <w:fldChar w:fldCharType="end"/>
      </w:r>
      <w:r w:rsidRPr="00685AA6">
        <w:rPr>
          <w:rStyle w:val="normaltextrun"/>
          <w:rFonts w:ascii="Arial" w:hAnsi="Arial" w:cs="Arial"/>
          <w:sz w:val="18"/>
          <w:szCs w:val="18"/>
          <w:lang w:val="fr-FR"/>
        </w:rPr>
        <w:t>  </w:t>
      </w:r>
      <w:r w:rsidRPr="00685AA6">
        <w:rPr>
          <w:rStyle w:val="normaltextrun"/>
          <w:rFonts w:ascii="Arial" w:hAnsi="Arial" w:cs="Arial"/>
          <w:sz w:val="18"/>
          <w:szCs w:val="18"/>
        </w:rPr>
        <w:t> </w:t>
      </w:r>
      <w:r w:rsidRPr="00685AA6">
        <w:rPr>
          <w:rStyle w:val="eop"/>
          <w:rFonts w:ascii="Arial" w:hAnsi="Arial" w:cs="Arial"/>
          <w:sz w:val="18"/>
          <w:szCs w:val="18"/>
        </w:rPr>
        <w:t> </w:t>
      </w:r>
    </w:p>
    <w:p w14:paraId="2FC2170C" w14:textId="77777777" w:rsidR="00685AA6" w:rsidRPr="00685AA6" w:rsidRDefault="00685AA6" w:rsidP="00685AA6">
      <w:pPr>
        <w:pStyle w:val="paragraph"/>
        <w:spacing w:before="0" w:beforeAutospacing="0" w:after="0" w:afterAutospacing="0"/>
        <w:ind w:right="-542"/>
        <w:textAlignment w:val="baseline"/>
        <w:rPr>
          <w:rFonts w:ascii="Arial" w:hAnsi="Arial" w:cs="Arial"/>
          <w:sz w:val="18"/>
          <w:szCs w:val="18"/>
        </w:rPr>
      </w:pPr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>CBRE Česká republika </w:t>
      </w:r>
      <w:hyperlink r:id="rId11" w:tgtFrame="_blank" w:history="1">
        <w:r w:rsidRPr="00685AA6">
          <w:rPr>
            <w:rStyle w:val="normaltextrun"/>
            <w:rFonts w:ascii="Arial" w:hAnsi="Arial" w:cs="Arial"/>
            <w:sz w:val="18"/>
            <w:szCs w:val="18"/>
            <w:lang w:val="cs-CZ"/>
          </w:rPr>
          <w:t>Facebook</w:t>
        </w:r>
      </w:hyperlink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 xml:space="preserve">, </w:t>
      </w:r>
      <w:hyperlink r:id="rId12" w:tgtFrame="_blank" w:history="1">
        <w:r w:rsidRPr="00685AA6">
          <w:rPr>
            <w:rStyle w:val="normaltextrun"/>
            <w:rFonts w:ascii="Arial" w:hAnsi="Arial" w:cs="Arial"/>
            <w:sz w:val="18"/>
            <w:szCs w:val="18"/>
            <w:u w:val="single"/>
            <w:lang w:val="cs-CZ"/>
          </w:rPr>
          <w:t>LinkedIn</w:t>
        </w:r>
      </w:hyperlink>
      <w:r w:rsidRPr="00685AA6">
        <w:rPr>
          <w:rStyle w:val="normaltextrun"/>
          <w:rFonts w:ascii="Arial" w:hAnsi="Arial" w:cs="Arial"/>
          <w:sz w:val="18"/>
          <w:szCs w:val="18"/>
          <w:u w:val="single"/>
          <w:lang w:val="cs-CZ"/>
        </w:rPr>
        <w:t>,</w:t>
      </w:r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 xml:space="preserve"> </w:t>
      </w:r>
      <w:hyperlink r:id="rId13" w:tgtFrame="_blank" w:history="1">
        <w:r w:rsidRPr="00685AA6">
          <w:rPr>
            <w:rStyle w:val="normaltextrun"/>
            <w:rFonts w:ascii="Arial" w:hAnsi="Arial" w:cs="Arial"/>
            <w:sz w:val="18"/>
            <w:szCs w:val="18"/>
            <w:lang w:val="cs-CZ"/>
          </w:rPr>
          <w:t>Instagram</w:t>
        </w:r>
      </w:hyperlink>
      <w:r w:rsidRPr="00685AA6">
        <w:rPr>
          <w:rStyle w:val="normaltextrun"/>
          <w:rFonts w:ascii="Arial" w:hAnsi="Arial" w:cs="Arial"/>
          <w:b/>
          <w:bCs/>
          <w:sz w:val="18"/>
          <w:szCs w:val="18"/>
          <w:lang w:val="cs-CZ"/>
        </w:rPr>
        <w:t> </w:t>
      </w:r>
      <w:r w:rsidRPr="00685AA6">
        <w:rPr>
          <w:rStyle w:val="normaltextrun"/>
          <w:rFonts w:ascii="Arial" w:hAnsi="Arial" w:cs="Arial"/>
          <w:sz w:val="18"/>
          <w:szCs w:val="18"/>
        </w:rPr>
        <w:t> </w:t>
      </w:r>
      <w:r w:rsidRPr="00685AA6">
        <w:rPr>
          <w:rStyle w:val="eop"/>
          <w:rFonts w:ascii="Arial" w:hAnsi="Arial" w:cs="Arial"/>
          <w:sz w:val="18"/>
          <w:szCs w:val="18"/>
        </w:rPr>
        <w:t> </w:t>
      </w:r>
    </w:p>
    <w:p w14:paraId="43FAEA45" w14:textId="77777777" w:rsidR="00685AA6" w:rsidRPr="00685AA6" w:rsidRDefault="00685AA6" w:rsidP="00685AA6">
      <w:pPr>
        <w:pStyle w:val="paragraph"/>
        <w:spacing w:before="0" w:beforeAutospacing="0" w:after="0" w:afterAutospacing="0"/>
        <w:ind w:right="-542"/>
        <w:textAlignment w:val="baseline"/>
        <w:rPr>
          <w:rFonts w:ascii="Arial" w:hAnsi="Arial" w:cs="Arial"/>
          <w:sz w:val="18"/>
          <w:szCs w:val="18"/>
        </w:rPr>
      </w:pPr>
      <w:r w:rsidRPr="00685AA6">
        <w:rPr>
          <w:rStyle w:val="normaltextrun"/>
          <w:rFonts w:ascii="Arial" w:hAnsi="Arial" w:cs="Arial"/>
          <w:sz w:val="18"/>
          <w:szCs w:val="18"/>
        </w:rPr>
        <w:t> </w:t>
      </w:r>
      <w:r w:rsidRPr="00685AA6">
        <w:rPr>
          <w:rStyle w:val="eop"/>
          <w:rFonts w:ascii="Arial" w:hAnsi="Arial" w:cs="Arial"/>
          <w:sz w:val="18"/>
          <w:szCs w:val="18"/>
        </w:rPr>
        <w:t> </w:t>
      </w:r>
    </w:p>
    <w:p w14:paraId="0BFA3AC7" w14:textId="77777777" w:rsidR="00685AA6" w:rsidRPr="00685AA6" w:rsidRDefault="00685AA6" w:rsidP="00685AA6">
      <w:pPr>
        <w:pStyle w:val="paragraph"/>
        <w:spacing w:before="0" w:beforeAutospacing="0" w:after="0" w:afterAutospacing="0"/>
        <w:ind w:right="-542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85AA6"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cs-CZ"/>
        </w:rPr>
        <w:t>O CBRE:</w:t>
      </w:r>
      <w:r w:rsidRPr="00685AA6">
        <w:rPr>
          <w:rStyle w:val="normaltextrun"/>
          <w:rFonts w:ascii="Arial" w:hAnsi="Arial" w:cs="Arial"/>
          <w:b/>
          <w:bCs/>
          <w:sz w:val="18"/>
          <w:szCs w:val="18"/>
          <w:lang w:val="cs-CZ"/>
        </w:rPr>
        <w:t>  </w:t>
      </w:r>
      <w:r w:rsidRPr="00685AA6">
        <w:rPr>
          <w:rStyle w:val="normaltextrun"/>
          <w:rFonts w:ascii="Arial" w:hAnsi="Arial" w:cs="Arial"/>
          <w:b/>
          <w:bCs/>
          <w:sz w:val="18"/>
          <w:szCs w:val="18"/>
        </w:rPr>
        <w:t> </w:t>
      </w:r>
      <w:r w:rsidRPr="00685AA6">
        <w:rPr>
          <w:rStyle w:val="eop"/>
          <w:rFonts w:ascii="Arial" w:hAnsi="Arial" w:cs="Arial"/>
          <w:b/>
          <w:bCs/>
          <w:sz w:val="18"/>
          <w:szCs w:val="18"/>
        </w:rPr>
        <w:t> </w:t>
      </w:r>
    </w:p>
    <w:p w14:paraId="19AD9260" w14:textId="6B0D1846" w:rsidR="00685AA6" w:rsidRPr="00685AA6" w:rsidRDefault="00685AA6" w:rsidP="00685AA6">
      <w:pPr>
        <w:pStyle w:val="paragraph"/>
        <w:spacing w:before="0" w:beforeAutospacing="0" w:after="0" w:afterAutospacing="0"/>
        <w:ind w:right="-542"/>
        <w:jc w:val="both"/>
        <w:textAlignment w:val="baseline"/>
        <w:rPr>
          <w:rFonts w:ascii="Arial" w:hAnsi="Arial" w:cs="Arial"/>
          <w:sz w:val="18"/>
          <w:szCs w:val="18"/>
        </w:rPr>
      </w:pPr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lastRenderedPageBreak/>
        <w:t>CBRE Group, Inc. (</w:t>
      </w:r>
      <w:proofErr w:type="gramStart"/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>NYSE:CBRE</w:t>
      </w:r>
      <w:proofErr w:type="gramEnd"/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 xml:space="preserve">), společnost figurující na žebříčku </w:t>
      </w:r>
      <w:proofErr w:type="spellStart"/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>Fortune</w:t>
      </w:r>
      <w:proofErr w:type="spellEnd"/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 xml:space="preserve"> 500 a indexu S&amp;P 500 se sídlem v Dallasu, je světovým lídrem v oblasti komerčních realitních služeb a investic (z hlediska výnosů za rok 2022). S přibližně 115 000 zaměstnanci (vyjma zaměstnanců společnosti Turner &amp; </w:t>
      </w:r>
      <w:proofErr w:type="spellStart"/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>Townsend</w:t>
      </w:r>
      <w:proofErr w:type="spellEnd"/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>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1,2 mil. m</w:t>
      </w:r>
      <w:r w:rsidRPr="00685AA6">
        <w:rPr>
          <w:rStyle w:val="normaltextrun"/>
          <w:rFonts w:ascii="Arial" w:hAnsi="Arial" w:cs="Arial"/>
          <w:sz w:val="18"/>
          <w:szCs w:val="18"/>
          <w:vertAlign w:val="superscript"/>
          <w:lang w:val="cs-CZ"/>
        </w:rPr>
        <w:t>2</w:t>
      </w:r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 xml:space="preserve">. Pro více informací navštivte internetové stránky společnosti na </w:t>
      </w:r>
      <w:hyperlink r:id="rId14" w:tgtFrame="_blank" w:history="1">
        <w:r w:rsidRPr="00685AA6">
          <w:rPr>
            <w:rStyle w:val="normaltextrun"/>
            <w:rFonts w:ascii="Arial" w:hAnsi="Arial" w:cs="Arial"/>
            <w:sz w:val="18"/>
            <w:szCs w:val="18"/>
            <w:u w:val="single"/>
            <w:lang w:val="cs-CZ"/>
          </w:rPr>
          <w:t>www.cbre.cz</w:t>
        </w:r>
      </w:hyperlink>
      <w:r w:rsidRPr="00685AA6">
        <w:rPr>
          <w:rStyle w:val="normaltextrun"/>
          <w:rFonts w:ascii="Arial" w:hAnsi="Arial" w:cs="Arial"/>
          <w:sz w:val="18"/>
          <w:szCs w:val="18"/>
          <w:lang w:val="cs-CZ"/>
        </w:rPr>
        <w:t>. </w:t>
      </w:r>
      <w:r w:rsidRPr="00685AA6">
        <w:rPr>
          <w:rStyle w:val="normaltextrun"/>
          <w:rFonts w:ascii="Arial" w:hAnsi="Arial" w:cs="Arial"/>
          <w:sz w:val="18"/>
          <w:szCs w:val="18"/>
        </w:rPr>
        <w:t> </w:t>
      </w:r>
      <w:r w:rsidRPr="00685AA6">
        <w:rPr>
          <w:rStyle w:val="eop"/>
          <w:rFonts w:ascii="Arial" w:hAnsi="Arial" w:cs="Arial"/>
          <w:sz w:val="18"/>
          <w:szCs w:val="18"/>
        </w:rPr>
        <w:t> </w:t>
      </w:r>
    </w:p>
    <w:p w14:paraId="77249185" w14:textId="77777777" w:rsidR="00DF21B2" w:rsidRPr="00A62DFD" w:rsidRDefault="00DF21B2" w:rsidP="00D97D6B">
      <w:pPr>
        <w:spacing w:line="312" w:lineRule="auto"/>
        <w:jc w:val="both"/>
        <w:rPr>
          <w:rStyle w:val="dn"/>
          <w:rFonts w:ascii="Arial" w:eastAsia="Arial" w:hAnsi="Arial" w:cs="Arial"/>
          <w:b/>
          <w:bCs/>
          <w:color w:val="1155CC"/>
          <w:sz w:val="22"/>
          <w:szCs w:val="22"/>
          <w:u w:val="single" w:color="1155CC"/>
          <w:lang w:val="cs-CZ"/>
        </w:rPr>
      </w:pPr>
    </w:p>
    <w:p w14:paraId="70CCCBA0" w14:textId="4C3AA57D" w:rsidR="001109EB" w:rsidRPr="006C1512" w:rsidRDefault="00D27C73" w:rsidP="00D97D6B">
      <w:pPr>
        <w:pStyle w:val="Bezmezer"/>
        <w:spacing w:line="312" w:lineRule="auto"/>
        <w:jc w:val="both"/>
        <w:rPr>
          <w:rStyle w:val="dn"/>
          <w:rFonts w:ascii="Arial" w:eastAsia="Arial" w:hAnsi="Arial" w:cs="Arial"/>
          <w:b/>
          <w:bCs/>
          <w:sz w:val="18"/>
          <w:szCs w:val="18"/>
          <w:u w:val="single"/>
          <w:lang w:val="cs-CZ"/>
        </w:rPr>
      </w:pPr>
      <w:r w:rsidRPr="006C1512">
        <w:rPr>
          <w:rStyle w:val="dn"/>
          <w:rFonts w:ascii="Arial" w:hAnsi="Arial" w:cs="Arial"/>
          <w:b/>
          <w:bCs/>
          <w:sz w:val="18"/>
          <w:szCs w:val="18"/>
          <w:u w:val="single"/>
          <w:lang w:val="cs-CZ"/>
        </w:rPr>
        <w:t xml:space="preserve">O společnosti </w:t>
      </w:r>
      <w:proofErr w:type="spellStart"/>
      <w:r w:rsidRPr="006C1512">
        <w:rPr>
          <w:rStyle w:val="dn"/>
          <w:rFonts w:ascii="Arial" w:hAnsi="Arial" w:cs="Arial"/>
          <w:b/>
          <w:bCs/>
          <w:sz w:val="18"/>
          <w:szCs w:val="18"/>
          <w:u w:val="single"/>
          <w:lang w:val="cs-CZ"/>
        </w:rPr>
        <w:t>Savills</w:t>
      </w:r>
      <w:proofErr w:type="spellEnd"/>
      <w:r w:rsidRPr="006C1512">
        <w:rPr>
          <w:rStyle w:val="dn"/>
          <w:rFonts w:ascii="Arial" w:hAnsi="Arial" w:cs="Arial"/>
          <w:b/>
          <w:bCs/>
          <w:sz w:val="18"/>
          <w:szCs w:val="18"/>
          <w:u w:val="single"/>
          <w:lang w:val="cs-CZ"/>
        </w:rPr>
        <w:t>:</w:t>
      </w:r>
    </w:p>
    <w:p w14:paraId="7B4F5D11" w14:textId="649736FD" w:rsidR="007B039F" w:rsidRPr="00A62DFD" w:rsidRDefault="007B039F" w:rsidP="00D97D6B">
      <w:pPr>
        <w:pStyle w:val="Bezmezer"/>
        <w:spacing w:line="312" w:lineRule="auto"/>
        <w:ind w:right="-567"/>
        <w:jc w:val="both"/>
        <w:rPr>
          <w:rStyle w:val="dn"/>
          <w:rFonts w:ascii="Arial" w:hAnsi="Arial" w:cs="Arial"/>
          <w:sz w:val="18"/>
          <w:szCs w:val="18"/>
          <w:lang w:val="cs-CZ"/>
        </w:rPr>
      </w:pPr>
      <w:proofErr w:type="spellStart"/>
      <w:r w:rsidRPr="00A62DFD">
        <w:rPr>
          <w:rStyle w:val="dn"/>
          <w:rFonts w:ascii="Arial" w:hAnsi="Arial" w:cs="Arial"/>
          <w:sz w:val="18"/>
          <w:szCs w:val="18"/>
          <w:lang w:val="cs-CZ"/>
        </w:rPr>
        <w:t>Savills</w:t>
      </w:r>
      <w:proofErr w:type="spellEnd"/>
      <w:r w:rsidRPr="00A62DFD">
        <w:rPr>
          <w:rStyle w:val="dn"/>
          <w:rFonts w:ascii="Arial" w:hAnsi="Arial" w:cs="Arial"/>
          <w:sz w:val="18"/>
          <w:szCs w:val="18"/>
          <w:lang w:val="cs-CZ"/>
        </w:rPr>
        <w:t xml:space="preserve"> CZ s. r. o. je součástí globální společnosti </w:t>
      </w:r>
      <w:proofErr w:type="spellStart"/>
      <w:r w:rsidRPr="00A62DFD">
        <w:rPr>
          <w:rStyle w:val="dn"/>
          <w:rFonts w:ascii="Arial" w:hAnsi="Arial" w:cs="Arial"/>
          <w:sz w:val="18"/>
          <w:szCs w:val="18"/>
          <w:lang w:val="cs-CZ"/>
        </w:rPr>
        <w:t>Savills</w:t>
      </w:r>
      <w:proofErr w:type="spellEnd"/>
      <w:r w:rsidRPr="00A62DFD">
        <w:rPr>
          <w:rStyle w:val="dn"/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A62DFD">
        <w:rPr>
          <w:rStyle w:val="dn"/>
          <w:rFonts w:ascii="Arial" w:hAnsi="Arial" w:cs="Arial"/>
          <w:sz w:val="18"/>
          <w:szCs w:val="18"/>
          <w:lang w:val="cs-CZ"/>
        </w:rPr>
        <w:t>plc</w:t>
      </w:r>
      <w:proofErr w:type="spellEnd"/>
      <w:r w:rsidRPr="00A62DFD">
        <w:rPr>
          <w:rStyle w:val="dn"/>
          <w:rFonts w:ascii="Arial" w:hAnsi="Arial" w:cs="Arial"/>
          <w:sz w:val="18"/>
          <w:szCs w:val="18"/>
          <w:lang w:val="cs-CZ"/>
        </w:rPr>
        <w:t xml:space="preserve">, která více než 160 let poskytuje poradenské služby v oblasti komerčních nemovitostí. </w:t>
      </w:r>
      <w:proofErr w:type="spellStart"/>
      <w:r w:rsidRPr="00A62DFD">
        <w:rPr>
          <w:rStyle w:val="dn"/>
          <w:rFonts w:ascii="Arial" w:hAnsi="Arial" w:cs="Arial"/>
          <w:sz w:val="18"/>
          <w:szCs w:val="18"/>
          <w:lang w:val="cs-CZ"/>
        </w:rPr>
        <w:t>Savills</w:t>
      </w:r>
      <w:proofErr w:type="spellEnd"/>
      <w:r w:rsidRPr="00A62DFD">
        <w:rPr>
          <w:rStyle w:val="dn"/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A62DFD">
        <w:rPr>
          <w:rStyle w:val="dn"/>
          <w:rFonts w:ascii="Arial" w:hAnsi="Arial" w:cs="Arial"/>
          <w:sz w:val="18"/>
          <w:szCs w:val="18"/>
          <w:lang w:val="cs-CZ"/>
        </w:rPr>
        <w:t>plc</w:t>
      </w:r>
      <w:proofErr w:type="spellEnd"/>
      <w:r w:rsidRPr="00A62DFD">
        <w:rPr>
          <w:rStyle w:val="dn"/>
          <w:rFonts w:ascii="Arial" w:hAnsi="Arial" w:cs="Arial"/>
          <w:sz w:val="18"/>
          <w:szCs w:val="18"/>
          <w:lang w:val="cs-CZ"/>
        </w:rPr>
        <w:t xml:space="preserve"> je zalistovaná na akciové burze London </w:t>
      </w:r>
      <w:proofErr w:type="spellStart"/>
      <w:r w:rsidRPr="00A62DFD">
        <w:rPr>
          <w:rStyle w:val="dn"/>
          <w:rFonts w:ascii="Arial" w:hAnsi="Arial" w:cs="Arial"/>
          <w:sz w:val="18"/>
          <w:szCs w:val="18"/>
          <w:lang w:val="cs-CZ"/>
        </w:rPr>
        <w:t>Stock</w:t>
      </w:r>
      <w:proofErr w:type="spellEnd"/>
      <w:r w:rsidRPr="00A62DFD">
        <w:rPr>
          <w:rStyle w:val="dn"/>
          <w:rFonts w:ascii="Arial" w:hAnsi="Arial" w:cs="Arial"/>
          <w:sz w:val="18"/>
          <w:szCs w:val="18"/>
          <w:lang w:val="cs-CZ"/>
        </w:rPr>
        <w:t xml:space="preserve"> Exchange a zaměstnává přes 40 000 profesionálů ve více než 70 státech. </w:t>
      </w:r>
    </w:p>
    <w:p w14:paraId="2EB26244" w14:textId="5E52E8E2" w:rsidR="007B039F" w:rsidRPr="00A62DFD" w:rsidRDefault="007B039F" w:rsidP="00D97D6B">
      <w:pPr>
        <w:pStyle w:val="Bezmezer"/>
        <w:spacing w:line="312" w:lineRule="auto"/>
        <w:ind w:right="-567"/>
        <w:jc w:val="both"/>
        <w:rPr>
          <w:rStyle w:val="dn"/>
          <w:rFonts w:ascii="Arial" w:hAnsi="Arial" w:cs="Arial"/>
          <w:sz w:val="18"/>
          <w:szCs w:val="18"/>
          <w:lang w:val="cs-CZ"/>
        </w:rPr>
      </w:pPr>
      <w:r w:rsidRPr="00A62DFD">
        <w:rPr>
          <w:rStyle w:val="dn"/>
          <w:rFonts w:ascii="Arial" w:hAnsi="Arial" w:cs="Arial"/>
          <w:sz w:val="18"/>
          <w:szCs w:val="18"/>
          <w:lang w:val="cs-CZ"/>
        </w:rPr>
        <w:t>Díky znalosti dat a trendů ze světových průzkumů jsme schopni našim klientům poskytnout poradenství jak na lokální, tak globální úrovni a uvést jejich přání do života prostřednictvím inovativních řešení šitých na</w:t>
      </w:r>
      <w:r w:rsidR="0033409E">
        <w:rPr>
          <w:rStyle w:val="dn"/>
          <w:rFonts w:ascii="Arial" w:hAnsi="Arial" w:cs="Arial"/>
          <w:sz w:val="18"/>
          <w:szCs w:val="18"/>
          <w:lang w:val="cs-CZ"/>
        </w:rPr>
        <w:t> </w:t>
      </w:r>
      <w:r w:rsidRPr="00A62DFD">
        <w:rPr>
          <w:rStyle w:val="dn"/>
          <w:rFonts w:ascii="Arial" w:hAnsi="Arial" w:cs="Arial"/>
          <w:sz w:val="18"/>
          <w:szCs w:val="18"/>
          <w:lang w:val="cs-CZ"/>
        </w:rPr>
        <w:t>míru. Ať už jste expandující firma nebo investor, který chce optimalizovat své portfolio, ke každému vašemu projektu přistupujeme individuálně a poskytujeme nejnovější poznatky a profesionální poradenství.</w:t>
      </w:r>
    </w:p>
    <w:p w14:paraId="0C70A5BF" w14:textId="5B3319C3" w:rsidR="007B039F" w:rsidRPr="00A62DFD" w:rsidRDefault="007B039F" w:rsidP="00D97D6B">
      <w:pPr>
        <w:pStyle w:val="Bezmezer"/>
        <w:spacing w:line="312" w:lineRule="auto"/>
        <w:ind w:right="-567"/>
        <w:jc w:val="both"/>
        <w:rPr>
          <w:rStyle w:val="dn"/>
          <w:rFonts w:ascii="Arial" w:eastAsia="Arial" w:hAnsi="Arial" w:cs="Arial"/>
          <w:sz w:val="18"/>
          <w:szCs w:val="18"/>
          <w:lang w:val="cs-CZ"/>
        </w:rPr>
      </w:pPr>
      <w:r w:rsidRPr="00A62DFD">
        <w:rPr>
          <w:rStyle w:val="dn"/>
          <w:rFonts w:ascii="Arial" w:hAnsi="Arial" w:cs="Arial"/>
          <w:sz w:val="18"/>
          <w:szCs w:val="18"/>
          <w:lang w:val="cs-CZ"/>
        </w:rPr>
        <w:t xml:space="preserve">V České republice je společnost </w:t>
      </w:r>
      <w:proofErr w:type="spellStart"/>
      <w:r w:rsidRPr="00A62DFD">
        <w:rPr>
          <w:rStyle w:val="dn"/>
          <w:rFonts w:ascii="Arial" w:hAnsi="Arial" w:cs="Arial"/>
          <w:sz w:val="18"/>
          <w:szCs w:val="18"/>
          <w:lang w:val="cs-CZ"/>
        </w:rPr>
        <w:t>Savills</w:t>
      </w:r>
      <w:proofErr w:type="spellEnd"/>
      <w:r w:rsidRPr="00A62DFD">
        <w:rPr>
          <w:rStyle w:val="dn"/>
          <w:rFonts w:ascii="Arial" w:hAnsi="Arial" w:cs="Arial"/>
          <w:sz w:val="18"/>
          <w:szCs w:val="18"/>
          <w:lang w:val="cs-CZ"/>
        </w:rPr>
        <w:t xml:space="preserve"> aktivní od roku 2017. Přes 65 expertů její pražské kanceláře nabízí klientům odborné služby od investičního poradenství, oceňování, agendy pronájmů a správy nemovitostí přes konzultace v oblasti výstavby a plánování projektů až po průzkum trhu v sedmi hlavních sektorech: průmysl a logistika, kanceláře, maloobchod, volný čas, hotely, rezidenční bydlení a ubytování pro studenty.</w:t>
      </w:r>
    </w:p>
    <w:p w14:paraId="58933819" w14:textId="77777777" w:rsidR="007B039F" w:rsidRPr="00A62DFD" w:rsidRDefault="007B039F" w:rsidP="00D97D6B">
      <w:pPr>
        <w:pStyle w:val="Bezmezer"/>
        <w:spacing w:line="312" w:lineRule="auto"/>
        <w:ind w:right="-567"/>
        <w:jc w:val="both"/>
        <w:rPr>
          <w:rStyle w:val="dn"/>
          <w:rFonts w:ascii="Arial" w:eastAsia="Arial" w:hAnsi="Arial" w:cs="Arial"/>
          <w:sz w:val="18"/>
          <w:szCs w:val="18"/>
          <w:lang w:val="cs-CZ"/>
        </w:rPr>
      </w:pPr>
    </w:p>
    <w:p w14:paraId="3B7E43BD" w14:textId="504ADEDC" w:rsidR="000F6863" w:rsidRDefault="007B039F" w:rsidP="00D97D6B">
      <w:pPr>
        <w:spacing w:line="312" w:lineRule="auto"/>
        <w:ind w:right="-567"/>
        <w:jc w:val="both"/>
        <w:rPr>
          <w:rStyle w:val="dn"/>
          <w:rFonts w:ascii="Arial" w:eastAsiaTheme="majorEastAsia" w:hAnsi="Arial" w:cs="Arial"/>
          <w:b/>
          <w:bCs/>
          <w:sz w:val="18"/>
          <w:szCs w:val="18"/>
          <w:lang w:val="cs-CZ"/>
        </w:rPr>
      </w:pPr>
      <w:r w:rsidRPr="00A62DFD">
        <w:rPr>
          <w:rStyle w:val="dn"/>
          <w:rFonts w:ascii="Arial" w:eastAsiaTheme="majorEastAsia" w:hAnsi="Arial" w:cs="Arial"/>
          <w:sz w:val="18"/>
          <w:szCs w:val="18"/>
          <w:lang w:val="cs-CZ"/>
        </w:rPr>
        <w:t xml:space="preserve">Pro více informací o společnosti navštivte stránku savills.com. Novinky z české kanceláře </w:t>
      </w:r>
      <w:proofErr w:type="spellStart"/>
      <w:r w:rsidRPr="00A62DFD">
        <w:rPr>
          <w:rStyle w:val="dn"/>
          <w:rFonts w:ascii="Arial" w:eastAsiaTheme="majorEastAsia" w:hAnsi="Arial" w:cs="Arial"/>
          <w:sz w:val="18"/>
          <w:szCs w:val="18"/>
          <w:lang w:val="cs-CZ"/>
        </w:rPr>
        <w:t>Savills</w:t>
      </w:r>
      <w:proofErr w:type="spellEnd"/>
      <w:r w:rsidRPr="00A62DFD">
        <w:rPr>
          <w:rStyle w:val="dn"/>
          <w:rFonts w:ascii="Arial" w:eastAsiaTheme="majorEastAsia" w:hAnsi="Arial" w:cs="Arial"/>
          <w:sz w:val="18"/>
          <w:szCs w:val="18"/>
          <w:lang w:val="cs-CZ"/>
        </w:rPr>
        <w:t xml:space="preserve"> najdete na</w:t>
      </w:r>
      <w:r w:rsidR="0033409E">
        <w:rPr>
          <w:rStyle w:val="dn"/>
          <w:rFonts w:ascii="Arial" w:eastAsiaTheme="majorEastAsia" w:hAnsi="Arial" w:cs="Arial"/>
          <w:sz w:val="18"/>
          <w:szCs w:val="18"/>
          <w:lang w:val="cs-CZ"/>
        </w:rPr>
        <w:t> </w:t>
      </w:r>
      <w:r w:rsidRPr="00A62DFD">
        <w:rPr>
          <w:rStyle w:val="dn"/>
          <w:rFonts w:ascii="Arial" w:eastAsiaTheme="majorEastAsia" w:hAnsi="Arial" w:cs="Arial"/>
          <w:sz w:val="18"/>
          <w:szCs w:val="18"/>
          <w:lang w:val="cs-CZ"/>
        </w:rPr>
        <w:t>savills.cz, anebo lokálním LinkedIn profilu (@Savills Czech Republic).</w:t>
      </w:r>
    </w:p>
    <w:p w14:paraId="3274757D" w14:textId="77777777" w:rsidR="000F6863" w:rsidRDefault="000F6863" w:rsidP="00D97D6B">
      <w:pPr>
        <w:spacing w:line="312" w:lineRule="auto"/>
        <w:ind w:right="-567"/>
        <w:jc w:val="both"/>
        <w:rPr>
          <w:rStyle w:val="dn"/>
          <w:rFonts w:ascii="Arial" w:eastAsiaTheme="majorEastAsia" w:hAnsi="Arial" w:cs="Arial"/>
          <w:b/>
          <w:bCs/>
          <w:sz w:val="18"/>
          <w:szCs w:val="18"/>
          <w:lang w:val="cs-CZ"/>
        </w:rPr>
      </w:pPr>
    </w:p>
    <w:p w14:paraId="2363B0AD" w14:textId="77777777" w:rsidR="00D911B1" w:rsidRPr="006C1512" w:rsidRDefault="000F6863" w:rsidP="00D911B1">
      <w:pPr>
        <w:spacing w:line="312" w:lineRule="auto"/>
        <w:ind w:right="-567"/>
        <w:jc w:val="both"/>
        <w:rPr>
          <w:rStyle w:val="dn"/>
          <w:rFonts w:ascii="Arial" w:eastAsiaTheme="majorEastAsia" w:hAnsi="Arial" w:cs="Arial"/>
          <w:b/>
          <w:bCs/>
          <w:sz w:val="18"/>
          <w:szCs w:val="18"/>
          <w:u w:val="single"/>
          <w:lang w:val="cs-CZ"/>
        </w:rPr>
      </w:pPr>
      <w:r w:rsidRPr="006C1512">
        <w:rPr>
          <w:rStyle w:val="dn"/>
          <w:rFonts w:ascii="Arial" w:eastAsiaTheme="majorEastAsia" w:hAnsi="Arial" w:cs="Arial"/>
          <w:b/>
          <w:bCs/>
          <w:sz w:val="18"/>
          <w:szCs w:val="18"/>
          <w:u w:val="single"/>
          <w:lang w:val="cs-CZ"/>
        </w:rPr>
        <w:t>O společnosti KGAL:</w:t>
      </w:r>
    </w:p>
    <w:p w14:paraId="26031934" w14:textId="6983DEA3" w:rsidR="00D911B1" w:rsidRPr="006C1512" w:rsidRDefault="008F5895" w:rsidP="006C1512">
      <w:pPr>
        <w:spacing w:line="312" w:lineRule="auto"/>
        <w:ind w:right="-567"/>
        <w:jc w:val="both"/>
        <w:rPr>
          <w:rStyle w:val="dn"/>
          <w:rFonts w:ascii="Arial" w:eastAsiaTheme="majorEastAsia" w:hAnsi="Arial" w:cs="Arial"/>
          <w:b/>
          <w:bCs/>
          <w:sz w:val="18"/>
          <w:szCs w:val="18"/>
          <w:lang w:val="cs-CZ"/>
        </w:rPr>
      </w:pPr>
      <w:hyperlink r:id="rId15" w:history="1">
        <w:r w:rsidR="00D911B1" w:rsidRPr="007641CE">
          <w:rPr>
            <w:rStyle w:val="Hypertextovodkaz"/>
            <w:rFonts w:ascii="Arial" w:eastAsiaTheme="majorEastAsia" w:hAnsi="Arial" w:cs="Arial"/>
            <w:sz w:val="18"/>
            <w:szCs w:val="18"/>
            <w:lang w:val="cs-CZ"/>
          </w:rPr>
          <w:t>KGAL</w:t>
        </w:r>
      </w:hyperlink>
      <w:r w:rsidR="00D911B1" w:rsidRPr="00D911B1">
        <w:rPr>
          <w:rStyle w:val="dn"/>
          <w:rFonts w:ascii="Arial" w:eastAsiaTheme="majorEastAsia" w:hAnsi="Arial" w:cs="Arial"/>
          <w:sz w:val="18"/>
          <w:szCs w:val="18"/>
          <w:lang w:val="cs-CZ"/>
        </w:rPr>
        <w:t xml:space="preserve"> je předním nezávislým správcem investic a aktiv, který spravuje investice v hodnotě přibližně 16 miliard eur. Zaměřuje se na dlouhodobé reálné kapitálové investice pro institucionální a soukromé investory v oblastech nemovitostí, udržitelné infrastruktury a letectví. Skupina, která působí po celé Evropě, byla založena před 56 lety a sídlí v Grünwaldu u Mnichova. Celkem 363 zaměstnanců se podílí na dosahování udržitelně stabilních výnosů s ohledem na výnosové a rizikové aspekty (k 31. prosinci 2023).</w:t>
      </w:r>
    </w:p>
    <w:p w14:paraId="3F44D0AF" w14:textId="77777777" w:rsidR="000F6863" w:rsidRDefault="000F6863" w:rsidP="00D97D6B">
      <w:pPr>
        <w:spacing w:line="312" w:lineRule="auto"/>
        <w:ind w:right="-567"/>
        <w:jc w:val="both"/>
        <w:rPr>
          <w:rStyle w:val="dn"/>
          <w:rFonts w:ascii="Arial" w:eastAsiaTheme="majorEastAsia" w:hAnsi="Arial" w:cs="Arial"/>
          <w:sz w:val="18"/>
          <w:szCs w:val="18"/>
          <w:lang w:val="cs-CZ"/>
        </w:rPr>
      </w:pPr>
    </w:p>
    <w:p w14:paraId="37BCE82F" w14:textId="2ED86621" w:rsidR="005125DE" w:rsidRPr="00A62DFD" w:rsidRDefault="005125DE" w:rsidP="00D97D6B">
      <w:pPr>
        <w:spacing w:line="312" w:lineRule="auto"/>
        <w:ind w:right="-567"/>
        <w:jc w:val="both"/>
        <w:rPr>
          <w:rStyle w:val="dn"/>
          <w:rFonts w:ascii="Arial" w:eastAsia="Arial" w:hAnsi="Arial" w:cs="Arial"/>
          <w:sz w:val="18"/>
          <w:szCs w:val="18"/>
          <w:lang w:val="cs-CZ"/>
        </w:rPr>
      </w:pPr>
    </w:p>
    <w:sectPr w:rsidR="005125DE" w:rsidRPr="00A62DFD">
      <w:headerReference w:type="default" r:id="rId16"/>
      <w:headerReference w:type="first" r:id="rId17"/>
      <w:pgSz w:w="11900" w:h="16840"/>
      <w:pgMar w:top="3175" w:right="3086" w:bottom="1134" w:left="851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E118E" w14:textId="77777777" w:rsidR="00595E10" w:rsidRDefault="00595E10">
      <w:r>
        <w:separator/>
      </w:r>
    </w:p>
  </w:endnote>
  <w:endnote w:type="continuationSeparator" w:id="0">
    <w:p w14:paraId="7371F9A5" w14:textId="77777777" w:rsidR="00595E10" w:rsidRDefault="0059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ogo Savills">
    <w:altName w:val="Franklin Gothic Medium Cond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74E0" w14:textId="77777777" w:rsidR="00595E10" w:rsidRDefault="00595E10">
      <w:r>
        <w:separator/>
      </w:r>
    </w:p>
  </w:footnote>
  <w:footnote w:type="continuationSeparator" w:id="0">
    <w:p w14:paraId="3AAF22D7" w14:textId="77777777" w:rsidR="00595E10" w:rsidRDefault="0059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DC87" w14:textId="77777777" w:rsidR="001109EB" w:rsidRDefault="00D27C73">
    <w:pPr>
      <w:pStyle w:val="SavillsLogoBW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155" w:type="dxa"/>
      <w:tblLook w:val="00A0" w:firstRow="1" w:lastRow="0" w:firstColumn="1" w:lastColumn="0" w:noHBand="0" w:noVBand="0"/>
    </w:tblPr>
    <w:tblGrid>
      <w:gridCol w:w="7711"/>
      <w:gridCol w:w="2722"/>
      <w:gridCol w:w="2722"/>
    </w:tblGrid>
    <w:tr w:rsidR="0027432E" w14:paraId="1B5A052A" w14:textId="77777777" w:rsidTr="0045170A">
      <w:trPr>
        <w:trHeight w:val="1758"/>
        <w:hidden/>
      </w:trPr>
      <w:tc>
        <w:tcPr>
          <w:tcW w:w="7711" w:type="dxa"/>
        </w:tcPr>
        <w:p w14:paraId="321A71CE" w14:textId="114EE095" w:rsidR="0027432E" w:rsidRDefault="0027432E" w:rsidP="0027432E">
          <w:pPr>
            <w:pStyle w:val="HeaderTitle"/>
            <w:jc w:val="right"/>
          </w:pPr>
          <w:r>
            <w:t>Press Release</w:t>
          </w:r>
        </w:p>
      </w:tc>
      <w:tc>
        <w:tcPr>
          <w:tcW w:w="2722" w:type="dxa"/>
        </w:tcPr>
        <w:p w14:paraId="3B8CCAD8" w14:textId="3CC6564D" w:rsidR="0027432E" w:rsidRDefault="0027432E" w:rsidP="0027432E">
          <w:pPr>
            <w:pStyle w:val="SavillsLogoCol"/>
            <w:rPr>
              <w:rFonts w:cs="Arial"/>
            </w:rPr>
          </w:pPr>
          <w:r w:rsidRPr="00F22450">
            <w:rPr>
              <w:rFonts w:cs="Arial"/>
              <w:noProof/>
              <w:vanish/>
            </w:rPr>
            <w:drawing>
              <wp:inline distT="0" distB="0" distL="0" distR="0" wp14:anchorId="6F445865" wp14:editId="2C000AB6">
                <wp:extent cx="679099" cy="679099"/>
                <wp:effectExtent l="0" t="0" r="6985" b="6985"/>
                <wp:docPr id="528284747" name="Obrázek 1" descr="Obsah obrázku text, Písmo, žlutá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0916504" name="Obrázek 1" descr="Obsah obrázku text, Písmo, žlutá, Grafika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993" cy="679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</w:tcPr>
        <w:p w14:paraId="234EA699" w14:textId="77777777" w:rsidR="0027432E" w:rsidRDefault="0027432E" w:rsidP="0027432E">
          <w:pPr>
            <w:pStyle w:val="SavillsLogoCol"/>
            <w:rPr>
              <w:rFonts w:cs="Arial"/>
            </w:rPr>
          </w:pPr>
          <w:proofErr w:type="spellStart"/>
          <w:r>
            <w:rPr>
              <w:rFonts w:cs="Arial"/>
            </w:rPr>
            <w:t>b</w:t>
          </w:r>
          <w:r>
            <w:rPr>
              <w:rFonts w:cs="Arial"/>
              <w:color w:val="FF0000"/>
            </w:rPr>
            <w:t>c</w:t>
          </w:r>
          <w:proofErr w:type="spellEnd"/>
        </w:p>
      </w:tc>
    </w:tr>
  </w:tbl>
  <w:p w14:paraId="77E3B879" w14:textId="382C7156" w:rsidR="001109EB" w:rsidRPr="0027432E" w:rsidRDefault="001109EB">
    <w:pPr>
      <w:pStyle w:val="SavillsLogoCol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25309"/>
    <w:multiLevelType w:val="hybridMultilevel"/>
    <w:tmpl w:val="83BEA3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04C43"/>
    <w:multiLevelType w:val="hybridMultilevel"/>
    <w:tmpl w:val="609A4F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62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588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EB"/>
    <w:rsid w:val="00001F93"/>
    <w:rsid w:val="000068E6"/>
    <w:rsid w:val="00017E6D"/>
    <w:rsid w:val="000213F6"/>
    <w:rsid w:val="00022977"/>
    <w:rsid w:val="000234F3"/>
    <w:rsid w:val="00035DF6"/>
    <w:rsid w:val="00037B09"/>
    <w:rsid w:val="000441C9"/>
    <w:rsid w:val="000470B6"/>
    <w:rsid w:val="00050E0D"/>
    <w:rsid w:val="0005190D"/>
    <w:rsid w:val="00051DCD"/>
    <w:rsid w:val="00052368"/>
    <w:rsid w:val="0005365E"/>
    <w:rsid w:val="00060320"/>
    <w:rsid w:val="00060CDC"/>
    <w:rsid w:val="0007262B"/>
    <w:rsid w:val="0007624B"/>
    <w:rsid w:val="00084493"/>
    <w:rsid w:val="000902D2"/>
    <w:rsid w:val="00095CF3"/>
    <w:rsid w:val="000A4D53"/>
    <w:rsid w:val="000A7DDF"/>
    <w:rsid w:val="000B5061"/>
    <w:rsid w:val="000B5607"/>
    <w:rsid w:val="000B5702"/>
    <w:rsid w:val="000D1D9C"/>
    <w:rsid w:val="000D2C1D"/>
    <w:rsid w:val="000D6BAF"/>
    <w:rsid w:val="000E083B"/>
    <w:rsid w:val="000F19CF"/>
    <w:rsid w:val="000F543D"/>
    <w:rsid w:val="000F6863"/>
    <w:rsid w:val="000F7F45"/>
    <w:rsid w:val="00102E54"/>
    <w:rsid w:val="001109EB"/>
    <w:rsid w:val="00116E6B"/>
    <w:rsid w:val="001221E8"/>
    <w:rsid w:val="0012279C"/>
    <w:rsid w:val="001279CB"/>
    <w:rsid w:val="001339F7"/>
    <w:rsid w:val="001428DC"/>
    <w:rsid w:val="001432A7"/>
    <w:rsid w:val="00144FFF"/>
    <w:rsid w:val="0014649F"/>
    <w:rsid w:val="00147A79"/>
    <w:rsid w:val="00154275"/>
    <w:rsid w:val="0015436B"/>
    <w:rsid w:val="00157A4E"/>
    <w:rsid w:val="00160016"/>
    <w:rsid w:val="00174A7F"/>
    <w:rsid w:val="00175691"/>
    <w:rsid w:val="00190A41"/>
    <w:rsid w:val="00191766"/>
    <w:rsid w:val="001931BF"/>
    <w:rsid w:val="00194EEC"/>
    <w:rsid w:val="00197C62"/>
    <w:rsid w:val="001A168E"/>
    <w:rsid w:val="001A4C5C"/>
    <w:rsid w:val="001B1F6B"/>
    <w:rsid w:val="001B42CD"/>
    <w:rsid w:val="001B499B"/>
    <w:rsid w:val="001B56E2"/>
    <w:rsid w:val="001C1BC9"/>
    <w:rsid w:val="001C6D42"/>
    <w:rsid w:val="001D2C49"/>
    <w:rsid w:val="001D2F11"/>
    <w:rsid w:val="001D3A0B"/>
    <w:rsid w:val="001E3DF6"/>
    <w:rsid w:val="001F5FBB"/>
    <w:rsid w:val="001F76CA"/>
    <w:rsid w:val="002023E1"/>
    <w:rsid w:val="002030D7"/>
    <w:rsid w:val="00205F3F"/>
    <w:rsid w:val="002066E3"/>
    <w:rsid w:val="00214B0D"/>
    <w:rsid w:val="002249D9"/>
    <w:rsid w:val="00225363"/>
    <w:rsid w:val="00241D34"/>
    <w:rsid w:val="002569E8"/>
    <w:rsid w:val="00267C90"/>
    <w:rsid w:val="002711A3"/>
    <w:rsid w:val="002717C7"/>
    <w:rsid w:val="00271C21"/>
    <w:rsid w:val="0027432E"/>
    <w:rsid w:val="002851CC"/>
    <w:rsid w:val="002904D7"/>
    <w:rsid w:val="00290CC9"/>
    <w:rsid w:val="00292432"/>
    <w:rsid w:val="00294877"/>
    <w:rsid w:val="00295168"/>
    <w:rsid w:val="002A1AC4"/>
    <w:rsid w:val="002A2299"/>
    <w:rsid w:val="002A5E7A"/>
    <w:rsid w:val="002B0B05"/>
    <w:rsid w:val="002B64EF"/>
    <w:rsid w:val="002B717C"/>
    <w:rsid w:val="002C2350"/>
    <w:rsid w:val="002C3135"/>
    <w:rsid w:val="002D044D"/>
    <w:rsid w:val="002D13D4"/>
    <w:rsid w:val="002E32DC"/>
    <w:rsid w:val="002F241B"/>
    <w:rsid w:val="002F4DE2"/>
    <w:rsid w:val="00301198"/>
    <w:rsid w:val="00312C38"/>
    <w:rsid w:val="00313414"/>
    <w:rsid w:val="00316D2B"/>
    <w:rsid w:val="003174C7"/>
    <w:rsid w:val="0033409E"/>
    <w:rsid w:val="00336093"/>
    <w:rsid w:val="00341E83"/>
    <w:rsid w:val="00343D81"/>
    <w:rsid w:val="00343F79"/>
    <w:rsid w:val="0035160B"/>
    <w:rsid w:val="003551AE"/>
    <w:rsid w:val="0036029B"/>
    <w:rsid w:val="003614B5"/>
    <w:rsid w:val="00364793"/>
    <w:rsid w:val="00364B8C"/>
    <w:rsid w:val="00364E45"/>
    <w:rsid w:val="003657C8"/>
    <w:rsid w:val="00365EAB"/>
    <w:rsid w:val="003663E8"/>
    <w:rsid w:val="00366EF0"/>
    <w:rsid w:val="0036771A"/>
    <w:rsid w:val="00371BF1"/>
    <w:rsid w:val="00377BFF"/>
    <w:rsid w:val="003807A1"/>
    <w:rsid w:val="00381073"/>
    <w:rsid w:val="003817FF"/>
    <w:rsid w:val="0039305F"/>
    <w:rsid w:val="003A216C"/>
    <w:rsid w:val="003A43F8"/>
    <w:rsid w:val="003A55EB"/>
    <w:rsid w:val="003C1623"/>
    <w:rsid w:val="003D320A"/>
    <w:rsid w:val="003D42DF"/>
    <w:rsid w:val="003D6D4B"/>
    <w:rsid w:val="003E0156"/>
    <w:rsid w:val="003E12C5"/>
    <w:rsid w:val="003F174B"/>
    <w:rsid w:val="003F2A14"/>
    <w:rsid w:val="003F3751"/>
    <w:rsid w:val="00402292"/>
    <w:rsid w:val="00404DDA"/>
    <w:rsid w:val="004101B4"/>
    <w:rsid w:val="004104D3"/>
    <w:rsid w:val="0041181B"/>
    <w:rsid w:val="00423265"/>
    <w:rsid w:val="00423534"/>
    <w:rsid w:val="00430385"/>
    <w:rsid w:val="0043345E"/>
    <w:rsid w:val="00434055"/>
    <w:rsid w:val="004348FD"/>
    <w:rsid w:val="00437ABE"/>
    <w:rsid w:val="00453024"/>
    <w:rsid w:val="00472D40"/>
    <w:rsid w:val="00477959"/>
    <w:rsid w:val="00477EB7"/>
    <w:rsid w:val="004A6314"/>
    <w:rsid w:val="004B0EE8"/>
    <w:rsid w:val="004C4DA5"/>
    <w:rsid w:val="004C50D2"/>
    <w:rsid w:val="004D1706"/>
    <w:rsid w:val="004E0054"/>
    <w:rsid w:val="004E2EBA"/>
    <w:rsid w:val="004E34CA"/>
    <w:rsid w:val="004E36ED"/>
    <w:rsid w:val="004F101B"/>
    <w:rsid w:val="004F3865"/>
    <w:rsid w:val="004F527B"/>
    <w:rsid w:val="004F6F63"/>
    <w:rsid w:val="005023E7"/>
    <w:rsid w:val="00506E5C"/>
    <w:rsid w:val="00511C15"/>
    <w:rsid w:val="00511ED3"/>
    <w:rsid w:val="005125DE"/>
    <w:rsid w:val="00515A75"/>
    <w:rsid w:val="00526B7E"/>
    <w:rsid w:val="005270A2"/>
    <w:rsid w:val="005308F0"/>
    <w:rsid w:val="00533E1C"/>
    <w:rsid w:val="0053455E"/>
    <w:rsid w:val="00536400"/>
    <w:rsid w:val="00540551"/>
    <w:rsid w:val="00543D6E"/>
    <w:rsid w:val="0056731D"/>
    <w:rsid w:val="00580BF4"/>
    <w:rsid w:val="00583769"/>
    <w:rsid w:val="00585829"/>
    <w:rsid w:val="005861BB"/>
    <w:rsid w:val="00586547"/>
    <w:rsid w:val="00595E10"/>
    <w:rsid w:val="00596934"/>
    <w:rsid w:val="00596D2E"/>
    <w:rsid w:val="005A2C50"/>
    <w:rsid w:val="005A2EBD"/>
    <w:rsid w:val="005A7831"/>
    <w:rsid w:val="005B2E67"/>
    <w:rsid w:val="005C27AD"/>
    <w:rsid w:val="005C3837"/>
    <w:rsid w:val="005C6A71"/>
    <w:rsid w:val="005D6C64"/>
    <w:rsid w:val="005E7942"/>
    <w:rsid w:val="005E7A1D"/>
    <w:rsid w:val="005F37DE"/>
    <w:rsid w:val="005F435C"/>
    <w:rsid w:val="005F5E94"/>
    <w:rsid w:val="005F5FA2"/>
    <w:rsid w:val="00601A9E"/>
    <w:rsid w:val="00604D30"/>
    <w:rsid w:val="006054C8"/>
    <w:rsid w:val="00606012"/>
    <w:rsid w:val="006139BB"/>
    <w:rsid w:val="00615837"/>
    <w:rsid w:val="0062321B"/>
    <w:rsid w:val="0062566B"/>
    <w:rsid w:val="00630A8D"/>
    <w:rsid w:val="00634993"/>
    <w:rsid w:val="00634E6F"/>
    <w:rsid w:val="00635B64"/>
    <w:rsid w:val="00637230"/>
    <w:rsid w:val="006402DE"/>
    <w:rsid w:val="00641E42"/>
    <w:rsid w:val="00643A8A"/>
    <w:rsid w:val="0064657A"/>
    <w:rsid w:val="00653FED"/>
    <w:rsid w:val="0065603C"/>
    <w:rsid w:val="00663091"/>
    <w:rsid w:val="006651B8"/>
    <w:rsid w:val="006826B1"/>
    <w:rsid w:val="0068540E"/>
    <w:rsid w:val="00685AA6"/>
    <w:rsid w:val="00686802"/>
    <w:rsid w:val="0068718F"/>
    <w:rsid w:val="00691131"/>
    <w:rsid w:val="00694A59"/>
    <w:rsid w:val="00697353"/>
    <w:rsid w:val="006A33CE"/>
    <w:rsid w:val="006A63BA"/>
    <w:rsid w:val="006A796F"/>
    <w:rsid w:val="006B097A"/>
    <w:rsid w:val="006B0DB2"/>
    <w:rsid w:val="006C0D82"/>
    <w:rsid w:val="006C1512"/>
    <w:rsid w:val="006D21AF"/>
    <w:rsid w:val="006E0A24"/>
    <w:rsid w:val="006E258E"/>
    <w:rsid w:val="006E47A0"/>
    <w:rsid w:val="006E5AEE"/>
    <w:rsid w:val="006E6C9D"/>
    <w:rsid w:val="006F26ED"/>
    <w:rsid w:val="006F3D81"/>
    <w:rsid w:val="006F6EBC"/>
    <w:rsid w:val="006F7347"/>
    <w:rsid w:val="0070067B"/>
    <w:rsid w:val="0070153D"/>
    <w:rsid w:val="00701E15"/>
    <w:rsid w:val="00704462"/>
    <w:rsid w:val="0070500A"/>
    <w:rsid w:val="00713AD7"/>
    <w:rsid w:val="00714037"/>
    <w:rsid w:val="00715921"/>
    <w:rsid w:val="00721ED1"/>
    <w:rsid w:val="00724C47"/>
    <w:rsid w:val="007268C9"/>
    <w:rsid w:val="007406D2"/>
    <w:rsid w:val="00740D8A"/>
    <w:rsid w:val="007436A2"/>
    <w:rsid w:val="00747599"/>
    <w:rsid w:val="00753EAB"/>
    <w:rsid w:val="00754169"/>
    <w:rsid w:val="00755020"/>
    <w:rsid w:val="0075656D"/>
    <w:rsid w:val="0075784D"/>
    <w:rsid w:val="00761B02"/>
    <w:rsid w:val="00764097"/>
    <w:rsid w:val="007641CE"/>
    <w:rsid w:val="00773EE0"/>
    <w:rsid w:val="00775F06"/>
    <w:rsid w:val="00777BF9"/>
    <w:rsid w:val="00777E95"/>
    <w:rsid w:val="00785769"/>
    <w:rsid w:val="00791809"/>
    <w:rsid w:val="00794153"/>
    <w:rsid w:val="007A66B2"/>
    <w:rsid w:val="007A7AE3"/>
    <w:rsid w:val="007B039F"/>
    <w:rsid w:val="007C3AA9"/>
    <w:rsid w:val="007D0210"/>
    <w:rsid w:val="007D054A"/>
    <w:rsid w:val="007D1C0E"/>
    <w:rsid w:val="007E3272"/>
    <w:rsid w:val="007E4971"/>
    <w:rsid w:val="007F1717"/>
    <w:rsid w:val="007F1DE9"/>
    <w:rsid w:val="007F200B"/>
    <w:rsid w:val="008003B3"/>
    <w:rsid w:val="00802095"/>
    <w:rsid w:val="0080543B"/>
    <w:rsid w:val="00805D6E"/>
    <w:rsid w:val="008151F8"/>
    <w:rsid w:val="0081553C"/>
    <w:rsid w:val="00815C50"/>
    <w:rsid w:val="0081745B"/>
    <w:rsid w:val="00821328"/>
    <w:rsid w:val="0082436B"/>
    <w:rsid w:val="0082639A"/>
    <w:rsid w:val="0082688E"/>
    <w:rsid w:val="00827339"/>
    <w:rsid w:val="00842C3D"/>
    <w:rsid w:val="00844AE5"/>
    <w:rsid w:val="00845047"/>
    <w:rsid w:val="008475CB"/>
    <w:rsid w:val="00850020"/>
    <w:rsid w:val="00857B12"/>
    <w:rsid w:val="00864C1E"/>
    <w:rsid w:val="00867264"/>
    <w:rsid w:val="00870904"/>
    <w:rsid w:val="0087599D"/>
    <w:rsid w:val="00877057"/>
    <w:rsid w:val="00880D1E"/>
    <w:rsid w:val="00887482"/>
    <w:rsid w:val="00891546"/>
    <w:rsid w:val="00891BA0"/>
    <w:rsid w:val="00893F1F"/>
    <w:rsid w:val="00897F72"/>
    <w:rsid w:val="008A3375"/>
    <w:rsid w:val="008A72DC"/>
    <w:rsid w:val="008B4501"/>
    <w:rsid w:val="008C013C"/>
    <w:rsid w:val="008C39FE"/>
    <w:rsid w:val="008C62F6"/>
    <w:rsid w:val="008D036E"/>
    <w:rsid w:val="008D6D14"/>
    <w:rsid w:val="008E08B4"/>
    <w:rsid w:val="008E2ABA"/>
    <w:rsid w:val="008E5C7B"/>
    <w:rsid w:val="008F210B"/>
    <w:rsid w:val="008F301B"/>
    <w:rsid w:val="008F5895"/>
    <w:rsid w:val="00906A19"/>
    <w:rsid w:val="0092184E"/>
    <w:rsid w:val="009226E6"/>
    <w:rsid w:val="009226ED"/>
    <w:rsid w:val="00922ACA"/>
    <w:rsid w:val="00927FBA"/>
    <w:rsid w:val="0093103D"/>
    <w:rsid w:val="00934AE3"/>
    <w:rsid w:val="009400C2"/>
    <w:rsid w:val="009541CE"/>
    <w:rsid w:val="00960535"/>
    <w:rsid w:val="00966E68"/>
    <w:rsid w:val="00967E00"/>
    <w:rsid w:val="00990C24"/>
    <w:rsid w:val="0099231F"/>
    <w:rsid w:val="00993AA4"/>
    <w:rsid w:val="009974E0"/>
    <w:rsid w:val="009A05A4"/>
    <w:rsid w:val="009A38F2"/>
    <w:rsid w:val="009A5760"/>
    <w:rsid w:val="009B15A3"/>
    <w:rsid w:val="009B4EEC"/>
    <w:rsid w:val="009C4ED9"/>
    <w:rsid w:val="009C4FB8"/>
    <w:rsid w:val="009C599C"/>
    <w:rsid w:val="009C7FC8"/>
    <w:rsid w:val="009D3788"/>
    <w:rsid w:val="009D5F1E"/>
    <w:rsid w:val="009E3A58"/>
    <w:rsid w:val="009E4C4E"/>
    <w:rsid w:val="009E5F31"/>
    <w:rsid w:val="00A0054C"/>
    <w:rsid w:val="00A04603"/>
    <w:rsid w:val="00A12AD6"/>
    <w:rsid w:val="00A1765D"/>
    <w:rsid w:val="00A21D60"/>
    <w:rsid w:val="00A23C5B"/>
    <w:rsid w:val="00A270C0"/>
    <w:rsid w:val="00A365EF"/>
    <w:rsid w:val="00A3738D"/>
    <w:rsid w:val="00A41A3B"/>
    <w:rsid w:val="00A43A8F"/>
    <w:rsid w:val="00A445F5"/>
    <w:rsid w:val="00A44B07"/>
    <w:rsid w:val="00A45C03"/>
    <w:rsid w:val="00A47C74"/>
    <w:rsid w:val="00A5134B"/>
    <w:rsid w:val="00A52F1C"/>
    <w:rsid w:val="00A545BA"/>
    <w:rsid w:val="00A55E40"/>
    <w:rsid w:val="00A56CFA"/>
    <w:rsid w:val="00A6048D"/>
    <w:rsid w:val="00A62DFD"/>
    <w:rsid w:val="00A636A9"/>
    <w:rsid w:val="00A75A16"/>
    <w:rsid w:val="00A80BF3"/>
    <w:rsid w:val="00A81A3C"/>
    <w:rsid w:val="00A85799"/>
    <w:rsid w:val="00AA181F"/>
    <w:rsid w:val="00AA46CE"/>
    <w:rsid w:val="00AB546E"/>
    <w:rsid w:val="00AC151C"/>
    <w:rsid w:val="00AC4D64"/>
    <w:rsid w:val="00AC59DE"/>
    <w:rsid w:val="00AD215B"/>
    <w:rsid w:val="00AD6112"/>
    <w:rsid w:val="00AD6429"/>
    <w:rsid w:val="00AD6964"/>
    <w:rsid w:val="00B03444"/>
    <w:rsid w:val="00B05075"/>
    <w:rsid w:val="00B10B54"/>
    <w:rsid w:val="00B10DA4"/>
    <w:rsid w:val="00B202AB"/>
    <w:rsid w:val="00B31567"/>
    <w:rsid w:val="00B315C5"/>
    <w:rsid w:val="00B32A06"/>
    <w:rsid w:val="00B32F7D"/>
    <w:rsid w:val="00B334B2"/>
    <w:rsid w:val="00B34FCF"/>
    <w:rsid w:val="00B37CED"/>
    <w:rsid w:val="00B439A2"/>
    <w:rsid w:val="00B54AF1"/>
    <w:rsid w:val="00B72B87"/>
    <w:rsid w:val="00B76899"/>
    <w:rsid w:val="00B83D8C"/>
    <w:rsid w:val="00B87BB1"/>
    <w:rsid w:val="00B913CD"/>
    <w:rsid w:val="00B91ADF"/>
    <w:rsid w:val="00B91D74"/>
    <w:rsid w:val="00BA2526"/>
    <w:rsid w:val="00BB6985"/>
    <w:rsid w:val="00BB784D"/>
    <w:rsid w:val="00BD193F"/>
    <w:rsid w:val="00BD7209"/>
    <w:rsid w:val="00BF38E5"/>
    <w:rsid w:val="00BF60C1"/>
    <w:rsid w:val="00BF62A2"/>
    <w:rsid w:val="00C01525"/>
    <w:rsid w:val="00C059EF"/>
    <w:rsid w:val="00C14916"/>
    <w:rsid w:val="00C207EC"/>
    <w:rsid w:val="00C23662"/>
    <w:rsid w:val="00C25605"/>
    <w:rsid w:val="00C275D2"/>
    <w:rsid w:val="00C278B4"/>
    <w:rsid w:val="00C34FDE"/>
    <w:rsid w:val="00C35536"/>
    <w:rsid w:val="00C42D93"/>
    <w:rsid w:val="00C471BE"/>
    <w:rsid w:val="00C51B37"/>
    <w:rsid w:val="00C52548"/>
    <w:rsid w:val="00C55192"/>
    <w:rsid w:val="00C5561A"/>
    <w:rsid w:val="00C623DB"/>
    <w:rsid w:val="00C63BB2"/>
    <w:rsid w:val="00C642BC"/>
    <w:rsid w:val="00C64D97"/>
    <w:rsid w:val="00C71C36"/>
    <w:rsid w:val="00C723E2"/>
    <w:rsid w:val="00C73450"/>
    <w:rsid w:val="00C7407B"/>
    <w:rsid w:val="00C83F9B"/>
    <w:rsid w:val="00C85495"/>
    <w:rsid w:val="00C85BE2"/>
    <w:rsid w:val="00C93392"/>
    <w:rsid w:val="00C936FB"/>
    <w:rsid w:val="00CA1A20"/>
    <w:rsid w:val="00CA1D63"/>
    <w:rsid w:val="00CA302F"/>
    <w:rsid w:val="00CA4431"/>
    <w:rsid w:val="00CA70D1"/>
    <w:rsid w:val="00CC00EF"/>
    <w:rsid w:val="00CC2365"/>
    <w:rsid w:val="00CD66BE"/>
    <w:rsid w:val="00CE16B1"/>
    <w:rsid w:val="00CF167E"/>
    <w:rsid w:val="00CF3CA7"/>
    <w:rsid w:val="00CF5D9A"/>
    <w:rsid w:val="00CF64AC"/>
    <w:rsid w:val="00CF6727"/>
    <w:rsid w:val="00D0122C"/>
    <w:rsid w:val="00D06F7F"/>
    <w:rsid w:val="00D12768"/>
    <w:rsid w:val="00D17B68"/>
    <w:rsid w:val="00D22269"/>
    <w:rsid w:val="00D22DFB"/>
    <w:rsid w:val="00D25D03"/>
    <w:rsid w:val="00D27C73"/>
    <w:rsid w:val="00D30D1E"/>
    <w:rsid w:val="00D31153"/>
    <w:rsid w:val="00D44135"/>
    <w:rsid w:val="00D52787"/>
    <w:rsid w:val="00D5307B"/>
    <w:rsid w:val="00D56A4E"/>
    <w:rsid w:val="00D56BFF"/>
    <w:rsid w:val="00D619CE"/>
    <w:rsid w:val="00D66C21"/>
    <w:rsid w:val="00D70683"/>
    <w:rsid w:val="00D74129"/>
    <w:rsid w:val="00D77A07"/>
    <w:rsid w:val="00D77C19"/>
    <w:rsid w:val="00D80247"/>
    <w:rsid w:val="00D8041A"/>
    <w:rsid w:val="00D8099D"/>
    <w:rsid w:val="00D911B1"/>
    <w:rsid w:val="00D921CC"/>
    <w:rsid w:val="00D937C8"/>
    <w:rsid w:val="00D949A7"/>
    <w:rsid w:val="00D9742A"/>
    <w:rsid w:val="00D97D6B"/>
    <w:rsid w:val="00DA05A4"/>
    <w:rsid w:val="00DA0D92"/>
    <w:rsid w:val="00DA2883"/>
    <w:rsid w:val="00DB06DE"/>
    <w:rsid w:val="00DB1296"/>
    <w:rsid w:val="00DB3563"/>
    <w:rsid w:val="00DB6102"/>
    <w:rsid w:val="00DB67C8"/>
    <w:rsid w:val="00DC1C60"/>
    <w:rsid w:val="00DC46A3"/>
    <w:rsid w:val="00DD25E1"/>
    <w:rsid w:val="00DE041C"/>
    <w:rsid w:val="00DE0D6A"/>
    <w:rsid w:val="00DE26A7"/>
    <w:rsid w:val="00DF1393"/>
    <w:rsid w:val="00DF21B2"/>
    <w:rsid w:val="00DF3BC3"/>
    <w:rsid w:val="00DF51F9"/>
    <w:rsid w:val="00E00AD4"/>
    <w:rsid w:val="00E025F9"/>
    <w:rsid w:val="00E05248"/>
    <w:rsid w:val="00E1027E"/>
    <w:rsid w:val="00E14908"/>
    <w:rsid w:val="00E21134"/>
    <w:rsid w:val="00E21947"/>
    <w:rsid w:val="00E378F2"/>
    <w:rsid w:val="00E37B32"/>
    <w:rsid w:val="00E426FF"/>
    <w:rsid w:val="00E46A45"/>
    <w:rsid w:val="00E46A8C"/>
    <w:rsid w:val="00E46E6C"/>
    <w:rsid w:val="00E52386"/>
    <w:rsid w:val="00E52861"/>
    <w:rsid w:val="00E533D3"/>
    <w:rsid w:val="00E608C4"/>
    <w:rsid w:val="00E61C64"/>
    <w:rsid w:val="00E61E37"/>
    <w:rsid w:val="00E6251A"/>
    <w:rsid w:val="00E6688B"/>
    <w:rsid w:val="00E7157F"/>
    <w:rsid w:val="00E80A6E"/>
    <w:rsid w:val="00E82DA3"/>
    <w:rsid w:val="00E832B3"/>
    <w:rsid w:val="00E84C72"/>
    <w:rsid w:val="00E87C68"/>
    <w:rsid w:val="00E94E89"/>
    <w:rsid w:val="00E973E0"/>
    <w:rsid w:val="00EA05AE"/>
    <w:rsid w:val="00EA2696"/>
    <w:rsid w:val="00EA5D62"/>
    <w:rsid w:val="00EB404F"/>
    <w:rsid w:val="00EC0894"/>
    <w:rsid w:val="00EC10C6"/>
    <w:rsid w:val="00EC1867"/>
    <w:rsid w:val="00EE0B62"/>
    <w:rsid w:val="00EE362F"/>
    <w:rsid w:val="00EE708B"/>
    <w:rsid w:val="00EF0577"/>
    <w:rsid w:val="00EF480B"/>
    <w:rsid w:val="00EF6C8B"/>
    <w:rsid w:val="00EF6CF9"/>
    <w:rsid w:val="00F01075"/>
    <w:rsid w:val="00F05B7B"/>
    <w:rsid w:val="00F251EC"/>
    <w:rsid w:val="00F25444"/>
    <w:rsid w:val="00F318E2"/>
    <w:rsid w:val="00F357C7"/>
    <w:rsid w:val="00F3738C"/>
    <w:rsid w:val="00F40597"/>
    <w:rsid w:val="00F40F6D"/>
    <w:rsid w:val="00F42D09"/>
    <w:rsid w:val="00F51A05"/>
    <w:rsid w:val="00F522A8"/>
    <w:rsid w:val="00F52F22"/>
    <w:rsid w:val="00F5563C"/>
    <w:rsid w:val="00F57297"/>
    <w:rsid w:val="00F60479"/>
    <w:rsid w:val="00F6116F"/>
    <w:rsid w:val="00F65A87"/>
    <w:rsid w:val="00F66C68"/>
    <w:rsid w:val="00F70D8A"/>
    <w:rsid w:val="00F737A8"/>
    <w:rsid w:val="00F90CA4"/>
    <w:rsid w:val="00F91177"/>
    <w:rsid w:val="00F946E9"/>
    <w:rsid w:val="00F97BA0"/>
    <w:rsid w:val="00FA0298"/>
    <w:rsid w:val="00FA172C"/>
    <w:rsid w:val="00FA600A"/>
    <w:rsid w:val="00FB2F33"/>
    <w:rsid w:val="00FB2FA8"/>
    <w:rsid w:val="00FC3947"/>
    <w:rsid w:val="00FC7B9B"/>
    <w:rsid w:val="00FD32AD"/>
    <w:rsid w:val="00FD5E17"/>
    <w:rsid w:val="00FD67E3"/>
    <w:rsid w:val="00FE211C"/>
    <w:rsid w:val="00FE32A9"/>
    <w:rsid w:val="00FE7771"/>
    <w:rsid w:val="00FE7A7F"/>
    <w:rsid w:val="00FF3121"/>
    <w:rsid w:val="21209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FADD0"/>
  <w15:docId w15:val="{4AB4A40C-DE8B-4B96-A0B2-4DF45216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villsLogoBW">
    <w:name w:val="SavillsLogoB&amp;W"/>
    <w:pPr>
      <w:jc w:val="right"/>
    </w:pPr>
    <w:rPr>
      <w:rFonts w:ascii="Logo Savills" w:eastAsia="Logo Savills" w:hAnsi="Logo Savills" w:cs="Logo Savills"/>
      <w:b/>
      <w:bCs/>
      <w:color w:val="000000"/>
      <w:sz w:val="126"/>
      <w:szCs w:val="126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avillsLogoCol">
    <w:name w:val="SavillsLogoCol"/>
    <w:pPr>
      <w:tabs>
        <w:tab w:val="center" w:pos="3856"/>
        <w:tab w:val="right" w:pos="7711"/>
      </w:tabs>
      <w:jc w:val="right"/>
    </w:pPr>
    <w:rPr>
      <w:rFonts w:ascii="Logo Savills" w:eastAsia="Logo Savills" w:hAnsi="Logo Savills" w:cs="Logo Savills"/>
      <w:b/>
      <w:bCs/>
      <w:color w:val="FFFF00"/>
      <w:sz w:val="166"/>
      <w:szCs w:val="166"/>
      <w:u w:color="FFFF00"/>
      <w:lang w:val="en-US"/>
    </w:rPr>
  </w:style>
  <w:style w:type="paragraph" w:customStyle="1" w:styleId="HorizontalText">
    <w:name w:val="HorizontalText"/>
    <w:rPr>
      <w:rFonts w:cs="Arial Unicode MS"/>
      <w:color w:val="C0C0C0"/>
      <w:sz w:val="60"/>
      <w:szCs w:val="60"/>
      <w:u w:color="C0C0C0"/>
      <w:lang w:val="en-US"/>
    </w:rPr>
  </w:style>
  <w:style w:type="paragraph" w:styleId="Nzev">
    <w:name w:val="Title"/>
    <w:next w:val="Normln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styleId="Bezmezer">
    <w:name w:val="No Spacing"/>
    <w:link w:val="BezmezerChar"/>
    <w:uiPriority w:val="1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877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274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432E"/>
    <w:rPr>
      <w:rFonts w:eastAsia="Times New Roman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274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32E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HeaderTitle">
    <w:name w:val="HeaderTitle"/>
    <w:basedOn w:val="Zhlav"/>
    <w:next w:val="Zhlav"/>
    <w:rsid w:val="002743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536"/>
        <w:tab w:val="clear" w:pos="9072"/>
        <w:tab w:val="center" w:pos="3856"/>
        <w:tab w:val="right" w:pos="7711"/>
      </w:tabs>
    </w:pPr>
    <w:rPr>
      <w:vanish/>
      <w:color w:val="FF0000"/>
      <w:sz w:val="32"/>
      <w:szCs w:val="32"/>
      <w:bdr w:val="none" w:sz="0" w:space="0" w:color="auto"/>
      <w:lang w:val="en-GB" w:eastAsia="en-GB"/>
    </w:rPr>
  </w:style>
  <w:style w:type="paragraph" w:customStyle="1" w:styleId="SavillsAddress">
    <w:name w:val="SavillsAddress"/>
    <w:basedOn w:val="Normln"/>
    <w:rsid w:val="002743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00" w:lineRule="atLeast"/>
      <w:jc w:val="right"/>
    </w:pPr>
    <w:rPr>
      <w:color w:val="auto"/>
      <w:sz w:val="16"/>
      <w:szCs w:val="16"/>
      <w:bdr w:val="none" w:sz="0" w:space="0" w:color="auto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C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B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BC9"/>
    <w:rPr>
      <w:rFonts w:eastAsia="Times New Roman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BC9"/>
    <w:rPr>
      <w:rFonts w:eastAsia="Times New Roman"/>
      <w:b/>
      <w:bCs/>
      <w:color w:val="000000"/>
      <w:u w:color="000000"/>
      <w:lang w:val="en-US"/>
    </w:rPr>
  </w:style>
  <w:style w:type="paragraph" w:styleId="Odstavecseseznamem">
    <w:name w:val="List Paragraph"/>
    <w:basedOn w:val="Normln"/>
    <w:uiPriority w:val="34"/>
    <w:qFormat/>
    <w:rsid w:val="00142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cs-CZ" w:eastAsia="en-US"/>
      <w14:ligatures w14:val="standardContextual"/>
    </w:rPr>
  </w:style>
  <w:style w:type="paragraph" w:styleId="Normlnweb">
    <w:name w:val="Normal (Web)"/>
    <w:basedOn w:val="Normln"/>
    <w:uiPriority w:val="99"/>
    <w:unhideWhenUsed/>
    <w:rsid w:val="007050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63723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E211C"/>
    <w:rPr>
      <w:color w:val="FF00FF" w:themeColor="followedHyperlink"/>
      <w:u w:val="single"/>
    </w:rPr>
  </w:style>
  <w:style w:type="character" w:customStyle="1" w:styleId="BezmezerChar">
    <w:name w:val="Bez mezer Char"/>
    <w:link w:val="Bezmezer"/>
    <w:uiPriority w:val="1"/>
    <w:rsid w:val="00C34FD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aragraph">
    <w:name w:val="paragraph"/>
    <w:basedOn w:val="Normln"/>
    <w:rsid w:val="00685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 w:val="en-GB" w:eastAsia="en-GB"/>
    </w:rPr>
  </w:style>
  <w:style w:type="character" w:customStyle="1" w:styleId="normaltextrun">
    <w:name w:val="normaltextrun"/>
    <w:basedOn w:val="Standardnpsmoodstavce"/>
    <w:rsid w:val="00685AA6"/>
  </w:style>
  <w:style w:type="character" w:customStyle="1" w:styleId="eop">
    <w:name w:val="eop"/>
    <w:basedOn w:val="Standardnpsmoodstavce"/>
    <w:rsid w:val="0068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cbre_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gal.de/en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ABB82-6E6B-435E-B12A-1ACE57B5865C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9AD7FB99-9575-4DA8-8A1F-08E7C23D0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0514F-4C3B-4BBC-828B-0B55D403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1897F-31BC-4A99-945A-9C6414C62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Novotná</dc:creator>
  <cp:lastModifiedBy>Tereza Štosová</cp:lastModifiedBy>
  <cp:revision>6</cp:revision>
  <dcterms:created xsi:type="dcterms:W3CDTF">2024-06-06T08:19:00Z</dcterms:created>
  <dcterms:modified xsi:type="dcterms:W3CDTF">2024-06-11T07:50:00Z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00289-1a9c-442f-923d-4f95209608d2_Enabled">
    <vt:lpwstr>true</vt:lpwstr>
  </property>
  <property fmtid="{D5CDD505-2E9C-101B-9397-08002B2CF9AE}" pid="3" name="MSIP_Label_9b500289-1a9c-442f-923d-4f95209608d2_SetDate">
    <vt:lpwstr>2024-03-15T10:04:00Z</vt:lpwstr>
  </property>
  <property fmtid="{D5CDD505-2E9C-101B-9397-08002B2CF9AE}" pid="4" name="MSIP_Label_9b500289-1a9c-442f-923d-4f95209608d2_Method">
    <vt:lpwstr>Privileged</vt:lpwstr>
  </property>
  <property fmtid="{D5CDD505-2E9C-101B-9397-08002B2CF9AE}" pid="5" name="MSIP_Label_9b500289-1a9c-442f-923d-4f95209608d2_Name">
    <vt:lpwstr>GCEP2 - Others</vt:lpwstr>
  </property>
  <property fmtid="{D5CDD505-2E9C-101B-9397-08002B2CF9AE}" pid="6" name="MSIP_Label_9b500289-1a9c-442f-923d-4f95209608d2_SiteId">
    <vt:lpwstr>90c56ca2-d892-45ce-810d-6cf368facdb3</vt:lpwstr>
  </property>
  <property fmtid="{D5CDD505-2E9C-101B-9397-08002B2CF9AE}" pid="7" name="MSIP_Label_9b500289-1a9c-442f-923d-4f95209608d2_ActionId">
    <vt:lpwstr>c0754fbf-bede-4245-a9d8-6e8dc7e232a1</vt:lpwstr>
  </property>
  <property fmtid="{D5CDD505-2E9C-101B-9397-08002B2CF9AE}" pid="8" name="MSIP_Label_9b500289-1a9c-442f-923d-4f95209608d2_ContentBits">
    <vt:lpwstr>0</vt:lpwstr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